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260F" w:rsidRPr="00863CCE" w:rsidRDefault="00D1260F" w:rsidP="00863CCE">
      <w:pPr>
        <w:spacing w:after="0" w:line="360" w:lineRule="auto"/>
        <w:jc w:val="both"/>
        <w:outlineLvl w:val="6"/>
        <w:rPr>
          <w:rFonts w:ascii="Keren" w:eastAsia="Times New Roman" w:hAnsi="Keren" w:cs="David"/>
          <w:b/>
          <w:bCs/>
          <w:sz w:val="26"/>
          <w:szCs w:val="20"/>
          <w:rtl/>
          <w:lang w:eastAsia="he-IL"/>
          <w14:ligatures w14:val="none"/>
        </w:rPr>
      </w:pPr>
      <w:bookmarkStart w:id="0" w:name="_Toc88530425"/>
      <w:r w:rsidRPr="00863CCE">
        <w:rPr>
          <w:rFonts w:ascii="Keren" w:eastAsia="Times New Roman" w:hAnsi="Keren" w:cs="David"/>
          <w:b/>
          <w:bCs/>
          <w:sz w:val="26"/>
          <w:szCs w:val="24"/>
          <w:rtl/>
          <w:lang w:eastAsia="he-IL"/>
          <w14:ligatures w14:val="none"/>
        </w:rPr>
        <w:t>ראשי תבות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"ראשי תבות:ערך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1260F" w:rsidRPr="00863CCE" w:rsidRDefault="00D1260F"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יש שימוש רב בראשי תבות בהקשר לאבלות, למצבות ולהנצחה. חלק מהפירוט שלפנינו נמצא בשימוש לא רק בהקשר לאבלות.</w:t>
      </w:r>
    </w:p>
    <w:p w:rsidR="00D1260F" w:rsidRPr="00863CCE" w:rsidRDefault="00D1260F"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b/>
          <w:bCs/>
          <w:sz w:val="26"/>
          <w:szCs w:val="20"/>
          <w:rtl/>
          <w:lang w:eastAsia="he-IL"/>
          <w14:ligatures w14:val="none"/>
        </w:rPr>
        <w:t>גחש"א</w:t>
      </w:r>
      <w:r w:rsidRPr="00863CCE">
        <w:rPr>
          <w:rFonts w:ascii="Keren" w:eastAsia="Times New Roman" w:hAnsi="Keren" w:cs="David"/>
          <w:sz w:val="26"/>
          <w:szCs w:val="20"/>
          <w:rtl/>
          <w:lang w:eastAsia="he-IL"/>
          <w14:ligatures w14:val="none"/>
        </w:rPr>
        <w:t xml:space="preserve"> – גמילות חסד של אמת, כנוי לחברה קדישא. ע"ע </w:t>
      </w:r>
      <w:r w:rsidRPr="00863CCE">
        <w:rPr>
          <w:rFonts w:ascii="Keren" w:eastAsia="Times New Roman" w:hAnsi="Keren" w:cs="David"/>
          <w:b/>
          <w:bCs/>
          <w:sz w:val="26"/>
          <w:szCs w:val="20"/>
          <w:rtl/>
          <w:lang w:eastAsia="he-IL"/>
          <w14:ligatures w14:val="none"/>
        </w:rPr>
        <w:t>גחש"א.</w:t>
      </w:r>
    </w:p>
    <w:p w:rsidR="00D1260F" w:rsidRPr="00863CCE" w:rsidRDefault="00D1260F"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b/>
          <w:bCs/>
          <w:sz w:val="26"/>
          <w:szCs w:val="20"/>
          <w:rtl/>
          <w:lang w:eastAsia="he-IL"/>
          <w14:ligatures w14:val="none"/>
        </w:rPr>
        <w:t>הכ"מ</w:t>
      </w:r>
      <w:r w:rsidRPr="00863CCE">
        <w:rPr>
          <w:rFonts w:ascii="Keren" w:eastAsia="Times New Roman" w:hAnsi="Keren" w:cs="David"/>
          <w:sz w:val="26"/>
          <w:szCs w:val="20"/>
          <w:rtl/>
          <w:lang w:eastAsia="he-IL"/>
          <w14:ligatures w14:val="none"/>
        </w:rPr>
        <w:t xml:space="preserve"> – הריני כפרת משכבו. ע"ע </w:t>
      </w:r>
      <w:r w:rsidRPr="00863CCE">
        <w:rPr>
          <w:rFonts w:ascii="Keren" w:eastAsia="Times New Roman" w:hAnsi="Keren" w:cs="David"/>
          <w:b/>
          <w:bCs/>
          <w:sz w:val="26"/>
          <w:szCs w:val="20"/>
          <w:rtl/>
          <w:lang w:eastAsia="he-IL"/>
          <w14:ligatures w14:val="none"/>
        </w:rPr>
        <w:t xml:space="preserve">הריני כפרת משכבו. </w:t>
      </w:r>
    </w:p>
    <w:p w:rsidR="00D1260F" w:rsidRPr="00863CCE" w:rsidRDefault="00D1260F"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המלוב"ן</w:t>
      </w:r>
      <w:r w:rsidRPr="00863CCE">
        <w:rPr>
          <w:rFonts w:ascii="Keren" w:eastAsia="Times New Roman" w:hAnsi="Keren" w:cs="David"/>
          <w:sz w:val="26"/>
          <w:szCs w:val="20"/>
          <w:rtl/>
          <w:lang w:eastAsia="he-IL"/>
          <w14:ligatures w14:val="none"/>
        </w:rPr>
        <w:t xml:space="preserve"> – המלומד בניסים. כינוי לצדיקים מפורסמים, בעלי ניסים ומופתים. בגמרא מוזכרים כמלומדים בניסים רבי שמעון בר יוחאי (מעילה יז, ב) ונחום איש גמזו (תענית כא, א; סנהדרין קט, א). </w:t>
      </w:r>
    </w:p>
    <w:p w:rsidR="00D1260F" w:rsidRPr="00863CCE" w:rsidRDefault="00D1260F"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 xml:space="preserve">הי"ד </w:t>
      </w:r>
      <w:r w:rsidRPr="00863CCE">
        <w:rPr>
          <w:rFonts w:ascii="Keren" w:eastAsia="Times New Roman" w:hAnsi="Keren" w:cs="David"/>
          <w:sz w:val="26"/>
          <w:szCs w:val="20"/>
          <w:rtl/>
          <w:lang w:eastAsia="he-IL"/>
          <w14:ligatures w14:val="none"/>
        </w:rPr>
        <w:t xml:space="preserve">– ה' יקום דמו. ע"ע </w:t>
      </w:r>
      <w:r w:rsidRPr="00863CCE">
        <w:rPr>
          <w:rFonts w:ascii="Keren" w:eastAsia="Times New Roman" w:hAnsi="Keren" w:cs="David"/>
          <w:b/>
          <w:bCs/>
          <w:sz w:val="26"/>
          <w:szCs w:val="20"/>
          <w:rtl/>
          <w:lang w:eastAsia="he-IL"/>
          <w14:ligatures w14:val="none"/>
        </w:rPr>
        <w:t>הי"ד – ה' יקום דמו</w:t>
      </w:r>
      <w:r w:rsidRPr="00863CCE">
        <w:rPr>
          <w:rFonts w:ascii="Keren" w:eastAsia="Times New Roman" w:hAnsi="Keren" w:cs="David"/>
          <w:sz w:val="26"/>
          <w:szCs w:val="20"/>
          <w:rtl/>
          <w:lang w:eastAsia="he-IL"/>
          <w14:ligatures w14:val="none"/>
        </w:rPr>
        <w:t>.</w:t>
      </w:r>
    </w:p>
    <w:p w:rsidR="00D1260F" w:rsidRPr="00863CCE" w:rsidRDefault="00D1260F"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זיע"א</w:t>
      </w:r>
      <w:r w:rsidRPr="00863CCE">
        <w:rPr>
          <w:rFonts w:ascii="Keren" w:eastAsia="Times New Roman" w:hAnsi="Keren" w:cs="David"/>
          <w:sz w:val="26"/>
          <w:szCs w:val="20"/>
          <w:rtl/>
          <w:lang w:eastAsia="he-IL"/>
          <w14:ligatures w14:val="none"/>
        </w:rPr>
        <w:t xml:space="preserve"> – זכותו יגן עלינו, אמן. צדקתו תעמוד לנו, דיבור מקובל אגב הזכרת צדיק שנפטר. </w:t>
      </w:r>
    </w:p>
    <w:p w:rsidR="00D1260F" w:rsidRPr="00863CCE" w:rsidRDefault="00D1260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b/>
          <w:bCs/>
          <w:szCs w:val="20"/>
          <w:rtl/>
          <w:lang w:eastAsia="he-IL"/>
          <w14:ligatures w14:val="none"/>
        </w:rPr>
        <w:t xml:space="preserve">ז"ל </w:t>
      </w:r>
      <w:r w:rsidRPr="00863CCE">
        <w:rPr>
          <w:rFonts w:ascii="Keren" w:eastAsia="Times New Roman" w:hAnsi="Keren" w:cs="David"/>
          <w:szCs w:val="20"/>
          <w:rtl/>
          <w:lang w:eastAsia="he-IL"/>
          <w14:ligatures w14:val="none"/>
        </w:rPr>
        <w:t>– זכרונו לברכה.</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 xml:space="preserve">מקור הביטוי בגמרא (קידושין לא, ב). "תנו רבנן: מכבדו בחייו ומכבדו במותו. בחייו כיצד? ... במותו כיצד? היה אומר דבר שמועה מפיו, לא יאמר - "כך אמר אבא", אלא - "כך אמר אבא מרי, הריני כפרת משכבו". וכך אומר בתוך שנים עשר חודש. מכאן ואילך אומר – "זכרונו לברכה לחיי העולם הבא". </w:t>
      </w:r>
    </w:p>
    <w:p w:rsidR="00D1260F" w:rsidRPr="00863CCE" w:rsidRDefault="00D1260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b/>
          <w:bCs/>
          <w:szCs w:val="20"/>
          <w:rtl/>
          <w:lang w:eastAsia="he-IL"/>
          <w14:ligatures w14:val="none"/>
        </w:rPr>
        <w:t>זללה"ה</w:t>
      </w:r>
      <w:r w:rsidRPr="00863CCE">
        <w:rPr>
          <w:rFonts w:ascii="Keren" w:eastAsia="Times New Roman" w:hAnsi="Keren" w:cs="David"/>
          <w:szCs w:val="20"/>
          <w:rtl/>
          <w:lang w:eastAsia="he-IL"/>
          <w14:ligatures w14:val="none"/>
        </w:rPr>
        <w:t xml:space="preserve"> - "זכרונו לברכה לחיי העולם הבא". גם ביטוי זה לקוח מהגמרא הנ"ל בקידושין.</w:t>
      </w:r>
    </w:p>
    <w:p w:rsidR="00D1260F" w:rsidRPr="00863CCE" w:rsidRDefault="00D1260F"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b/>
          <w:bCs/>
          <w:szCs w:val="20"/>
          <w:rtl/>
          <w:lang w:eastAsia="he-IL"/>
          <w14:ligatures w14:val="none"/>
        </w:rPr>
        <w:t>זצוק"ל</w:t>
      </w:r>
      <w:r w:rsidRPr="00863CCE">
        <w:rPr>
          <w:rFonts w:ascii="Keren" w:eastAsia="Times New Roman" w:hAnsi="Keren" w:cs="David"/>
          <w:szCs w:val="20"/>
          <w:rtl/>
          <w:lang w:eastAsia="he-IL"/>
          <w14:ligatures w14:val="none"/>
        </w:rPr>
        <w:t xml:space="preserve"> – זכר צדיק וקדוש לברכה. מבוסס על הפסוק בספר משלי (י, ז) "</w:t>
      </w:r>
      <w:r w:rsidRPr="00863CCE">
        <w:rPr>
          <w:rFonts w:ascii="Keren" w:eastAsia="Times New Roman" w:hAnsi="Keren" w:cs="David"/>
          <w:sz w:val="20"/>
          <w:szCs w:val="20"/>
          <w:rtl/>
          <w:lang w:eastAsia="he-IL"/>
          <w14:ligatures w14:val="none"/>
        </w:rPr>
        <w:t>זֵכֶר צַדִּיק לִבְרָכָה וְשֵׁם רְשָׁעִים יִרְקָב</w:t>
      </w:r>
      <w:r w:rsidRPr="00863CCE">
        <w:rPr>
          <w:rFonts w:ascii="Keren" w:eastAsia="Times New Roman" w:hAnsi="Keren" w:cs="David"/>
          <w:szCs w:val="20"/>
          <w:rtl/>
          <w:lang w:eastAsia="he-IL"/>
          <w14:ligatures w14:val="none"/>
        </w:rPr>
        <w:t>".</w:t>
      </w:r>
    </w:p>
    <w:p w:rsidR="00D1260F" w:rsidRPr="00863CCE" w:rsidRDefault="00D1260F"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b/>
          <w:bCs/>
          <w:szCs w:val="20"/>
          <w:rtl/>
          <w:lang w:eastAsia="he-IL"/>
          <w14:ligatures w14:val="none"/>
        </w:rPr>
        <w:t>זצוקללה"ה</w:t>
      </w:r>
      <w:r w:rsidRPr="00863CCE">
        <w:rPr>
          <w:rFonts w:ascii="Keren" w:eastAsia="Times New Roman" w:hAnsi="Keren" w:cs="David"/>
          <w:szCs w:val="20"/>
          <w:rtl/>
          <w:lang w:eastAsia="he-IL"/>
          <w14:ligatures w14:val="none"/>
        </w:rPr>
        <w:t xml:space="preserve"> – זכר צדיק וקדוש לברכה לחיי העולם הבא. מבוסס על הביטוי בגמרא עם הפסוק בספר משלי (י, ז) "</w:t>
      </w:r>
      <w:r w:rsidRPr="00863CCE">
        <w:rPr>
          <w:rFonts w:ascii="Keren" w:eastAsia="Times New Roman" w:hAnsi="Keren" w:cs="David"/>
          <w:sz w:val="20"/>
          <w:szCs w:val="20"/>
          <w:rtl/>
          <w:lang w:eastAsia="he-IL"/>
          <w14:ligatures w14:val="none"/>
        </w:rPr>
        <w:t>זֵכֶר צַדִּיק לִבְרָכָה</w:t>
      </w:r>
      <w:r w:rsidRPr="00863CCE">
        <w:rPr>
          <w:rFonts w:ascii="Keren" w:eastAsia="Times New Roman" w:hAnsi="Keren" w:cs="David"/>
          <w:szCs w:val="20"/>
          <w:rtl/>
          <w:lang w:eastAsia="he-IL"/>
          <w14:ligatures w14:val="none"/>
        </w:rPr>
        <w:t>".</w:t>
      </w:r>
    </w:p>
    <w:p w:rsidR="00D1260F" w:rsidRPr="00863CCE" w:rsidRDefault="00D1260F"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b/>
          <w:bCs/>
          <w:szCs w:val="20"/>
          <w:rtl/>
          <w:lang w:eastAsia="he-IL"/>
          <w14:ligatures w14:val="none"/>
        </w:rPr>
        <w:t xml:space="preserve">זצ"ל - </w:t>
      </w:r>
      <w:r w:rsidRPr="00863CCE">
        <w:rPr>
          <w:rFonts w:ascii="Keren" w:eastAsia="Times New Roman" w:hAnsi="Keren" w:cs="David"/>
          <w:szCs w:val="20"/>
          <w:rtl/>
          <w:lang w:eastAsia="he-IL"/>
          <w14:ligatures w14:val="none"/>
        </w:rPr>
        <w:t>"זכר צדיק לברכה". מבוסס על הפסוק בספר משלי (י, ז) "</w:t>
      </w:r>
      <w:r w:rsidRPr="00863CCE">
        <w:rPr>
          <w:rFonts w:ascii="Keren" w:eastAsia="Times New Roman" w:hAnsi="Keren" w:cs="David"/>
          <w:sz w:val="20"/>
          <w:szCs w:val="20"/>
          <w:rtl/>
          <w:lang w:eastAsia="he-IL"/>
          <w14:ligatures w14:val="none"/>
        </w:rPr>
        <w:t>זֵכֶר צַדִּיק לִבְרָכָה</w:t>
      </w:r>
      <w:r w:rsidRPr="00863CCE">
        <w:rPr>
          <w:rFonts w:ascii="Keren" w:eastAsia="Times New Roman" w:hAnsi="Keren" w:cs="David"/>
          <w:szCs w:val="20"/>
          <w:rtl/>
          <w:lang w:eastAsia="he-IL"/>
          <w14:ligatures w14:val="none"/>
        </w:rPr>
        <w:t>".</w:t>
      </w:r>
    </w:p>
    <w:p w:rsidR="00D1260F" w:rsidRPr="00863CCE" w:rsidRDefault="00D1260F"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יבדל"א</w:t>
      </w:r>
      <w:r w:rsidRPr="00863CCE">
        <w:rPr>
          <w:rFonts w:ascii="Keren" w:eastAsia="Times New Roman" w:hAnsi="Keren" w:cs="David"/>
          <w:sz w:val="26"/>
          <w:szCs w:val="20"/>
          <w:rtl/>
          <w:lang w:eastAsia="he-IL"/>
          <w14:ligatures w14:val="none"/>
        </w:rPr>
        <w:t xml:space="preserve"> – יבדל לחיים ארוכים. בשימוש כשמזכירים בבת אחת אדם חי בהקשר לאדם שכבר נפטר, כדי לא לקשור את החי למיתה. (לעתים גם יבדלחט"א – יבדל לחיים טובים אמן). ע"ע </w:t>
      </w:r>
      <w:r w:rsidRPr="00863CCE">
        <w:rPr>
          <w:rFonts w:ascii="Keren" w:eastAsia="Times New Roman" w:hAnsi="Keren" w:cs="David"/>
          <w:b/>
          <w:bCs/>
          <w:sz w:val="26"/>
          <w:szCs w:val="20"/>
          <w:rtl/>
          <w:lang w:eastAsia="he-IL"/>
          <w14:ligatures w14:val="none"/>
        </w:rPr>
        <w:t>בר מינן</w:t>
      </w:r>
      <w:r w:rsidRPr="00863CCE">
        <w:rPr>
          <w:rFonts w:ascii="Keren" w:eastAsia="Times New Roman" w:hAnsi="Keren" w:cs="David"/>
          <w:sz w:val="26"/>
          <w:szCs w:val="20"/>
          <w:rtl/>
          <w:lang w:eastAsia="he-IL"/>
          <w14:ligatures w14:val="none"/>
        </w:rPr>
        <w:t>.</w:t>
      </w:r>
    </w:p>
    <w:p w:rsidR="00D1260F" w:rsidRPr="00863CCE" w:rsidRDefault="00D1260F"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b/>
          <w:bCs/>
          <w:sz w:val="26"/>
          <w:szCs w:val="20"/>
          <w:rtl/>
          <w:lang w:eastAsia="he-IL"/>
          <w14:ligatures w14:val="none"/>
        </w:rPr>
        <w:t>לע"נ</w:t>
      </w:r>
      <w:r w:rsidRPr="00863CCE">
        <w:rPr>
          <w:rFonts w:ascii="Keren" w:eastAsia="Times New Roman" w:hAnsi="Keren" w:cs="David"/>
          <w:sz w:val="26"/>
          <w:szCs w:val="20"/>
          <w:rtl/>
          <w:lang w:eastAsia="he-IL"/>
          <w14:ligatures w14:val="none"/>
        </w:rPr>
        <w:t xml:space="preserve"> – לעילוי נשמת. ע"ע </w:t>
      </w:r>
      <w:r w:rsidRPr="00863CCE">
        <w:rPr>
          <w:rFonts w:ascii="Keren" w:eastAsia="Times New Roman" w:hAnsi="Keren" w:cs="David"/>
          <w:b/>
          <w:bCs/>
          <w:sz w:val="26"/>
          <w:szCs w:val="20"/>
          <w:rtl/>
          <w:lang w:eastAsia="he-IL"/>
          <w14:ligatures w14:val="none"/>
        </w:rPr>
        <w:t xml:space="preserve">ברכות לעילוי נשמה. עילוי נשמה. </w:t>
      </w:r>
    </w:p>
    <w:p w:rsidR="00D1260F" w:rsidRPr="00863CCE" w:rsidRDefault="00D1260F"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 xml:space="preserve">נבג"מ </w:t>
      </w:r>
      <w:r w:rsidRPr="00863CCE">
        <w:rPr>
          <w:rFonts w:ascii="Keren" w:eastAsia="Times New Roman" w:hAnsi="Keren" w:cs="David"/>
          <w:sz w:val="26"/>
          <w:szCs w:val="20"/>
          <w:rtl/>
          <w:lang w:eastAsia="he-IL"/>
          <w14:ligatures w14:val="none"/>
        </w:rPr>
        <w:t>– נשמתו בגנזי מרומים.</w:t>
      </w:r>
    </w:p>
    <w:p w:rsidR="00D1260F" w:rsidRPr="00863CCE" w:rsidRDefault="00D1260F"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b/>
          <w:bCs/>
          <w:sz w:val="26"/>
          <w:szCs w:val="20"/>
          <w:rtl/>
          <w:lang w:eastAsia="he-IL"/>
          <w14:ligatures w14:val="none"/>
        </w:rPr>
        <w:t xml:space="preserve">נלב"ע </w:t>
      </w:r>
      <w:r w:rsidRPr="00863CCE">
        <w:rPr>
          <w:rFonts w:ascii="Keren" w:eastAsia="Times New Roman" w:hAnsi="Keren" w:cs="David"/>
          <w:sz w:val="26"/>
          <w:szCs w:val="20"/>
          <w:rtl/>
          <w:lang w:eastAsia="he-IL"/>
          <w14:ligatures w14:val="none"/>
        </w:rPr>
        <w:t>– נלקח לבית עולמו. על פי הפסוק בקהלת (יב, ה) "</w:t>
      </w:r>
      <w:r w:rsidRPr="00863CCE">
        <w:rPr>
          <w:rFonts w:ascii="Times New Roman" w:eastAsia="Times New Roman" w:hAnsi="Times New Roman" w:cs="David"/>
          <w:sz w:val="20"/>
          <w:szCs w:val="20"/>
          <w:rtl/>
          <w14:ligatures w14:val="none"/>
        </w:rPr>
        <w:t>כִּי הֹלֵךְ הָאָדָם אֶל בֵּית עוֹלָמוֹ</w:t>
      </w:r>
      <w:r w:rsidRPr="00863CCE">
        <w:rPr>
          <w:rFonts w:ascii="Keren" w:eastAsia="Times New Roman" w:hAnsi="Keren" w:cs="David"/>
          <w:sz w:val="26"/>
          <w:szCs w:val="20"/>
          <w:rtl/>
          <w:lang w:eastAsia="he-IL"/>
          <w14:ligatures w14:val="none"/>
        </w:rPr>
        <w:t>".</w:t>
      </w:r>
    </w:p>
    <w:p w:rsidR="00D1260F" w:rsidRPr="00863CCE" w:rsidRDefault="00D1260F"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b/>
          <w:bCs/>
          <w:sz w:val="26"/>
          <w:szCs w:val="20"/>
          <w:rtl/>
          <w:lang w:eastAsia="he-IL"/>
          <w14:ligatures w14:val="none"/>
        </w:rPr>
        <w:t>ע"ה</w:t>
      </w:r>
      <w:r w:rsidRPr="00863CCE">
        <w:rPr>
          <w:rFonts w:ascii="Keren" w:eastAsia="Times New Roman" w:hAnsi="Keren" w:cs="David"/>
          <w:sz w:val="26"/>
          <w:szCs w:val="20"/>
          <w:rtl/>
          <w:lang w:eastAsia="he-IL"/>
          <w14:ligatures w14:val="none"/>
        </w:rPr>
        <w:t xml:space="preserve"> – עליו השלום. על פי מאמר חז"ל הקושר את השלום עם הצדיקים. "</w:t>
      </w:r>
      <w:r w:rsidRPr="00863CCE">
        <w:rPr>
          <w:rFonts w:ascii="Times New Roman" w:eastAsia="Times New Roman" w:hAnsi="Times New Roman" w:cs="David"/>
          <w:color w:val="000000"/>
          <w:sz w:val="18"/>
          <w:szCs w:val="20"/>
          <w:rtl/>
          <w:lang w:eastAsia="he-IL"/>
          <w14:ligatures w14:val="none"/>
        </w:rPr>
        <w:t xml:space="preserve">היה ר' מאיר אומר: גדול הוא השלום שלא ברא הקב"ה מידה יפה מן השלום שניתנה לצדיקים, שבשעה שנפטרין מן העולם שלֹש כתות של מלאכי השרת מקדימין אותן בשלום, הראשונה אומרת יבא שלום..." (ספרי זוטא, נשא כו). ע"ע </w:t>
      </w:r>
      <w:r w:rsidRPr="00863CCE">
        <w:rPr>
          <w:rFonts w:ascii="Times New Roman" w:eastAsia="Times New Roman" w:hAnsi="Times New Roman" w:cs="David"/>
          <w:b/>
          <w:bCs/>
          <w:color w:val="000000"/>
          <w:sz w:val="18"/>
          <w:szCs w:val="20"/>
          <w:rtl/>
          <w:lang w:eastAsia="he-IL"/>
          <w14:ligatures w14:val="none"/>
        </w:rPr>
        <w:t>עליו השלום.</w:t>
      </w:r>
    </w:p>
    <w:p w:rsidR="00D1260F" w:rsidRPr="00863CCE" w:rsidRDefault="00D1260F"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 xml:space="preserve">פ"נ </w:t>
      </w:r>
      <w:r w:rsidRPr="00863CCE">
        <w:rPr>
          <w:rFonts w:ascii="Keren" w:eastAsia="Times New Roman" w:hAnsi="Keren" w:cs="David"/>
          <w:sz w:val="26"/>
          <w:szCs w:val="20"/>
          <w:rtl/>
          <w:lang w:eastAsia="he-IL"/>
          <w14:ligatures w14:val="none"/>
        </w:rPr>
        <w:t>– פה נקבר/ה. כיתוב מקובל על מצבות.</w:t>
      </w:r>
    </w:p>
    <w:p w:rsidR="00D1260F" w:rsidRPr="00863CCE" w:rsidRDefault="00D1260F"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ציס"ע</w:t>
      </w:r>
      <w:r w:rsidRPr="00863CCE">
        <w:rPr>
          <w:rFonts w:ascii="Keren" w:eastAsia="Times New Roman" w:hAnsi="Keren" w:cs="David"/>
          <w:sz w:val="26"/>
          <w:szCs w:val="20"/>
          <w:rtl/>
          <w:lang w:eastAsia="he-IL"/>
          <w14:ligatures w14:val="none"/>
        </w:rPr>
        <w:t xml:space="preserve"> – צדיק יסוד עולם. מבוסס על הפסוק במשלי (י, כה). כינוי לצדיקי עליון שבזכותם העולם עומד (ראה יומא לח, ב; חגיגה יב, ב).   </w:t>
      </w:r>
    </w:p>
    <w:p w:rsidR="00D1260F" w:rsidRPr="00863CCE" w:rsidRDefault="00D1260F"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ר"ל</w:t>
      </w:r>
      <w:r w:rsidRPr="00863CCE">
        <w:rPr>
          <w:rFonts w:ascii="Keren" w:eastAsia="Times New Roman" w:hAnsi="Keren" w:cs="David"/>
          <w:sz w:val="26"/>
          <w:szCs w:val="20"/>
          <w:rtl/>
          <w:lang w:eastAsia="he-IL"/>
          <w14:ligatures w14:val="none"/>
        </w:rPr>
        <w:t xml:space="preserve"> – רחמנא ליצלן (בארמית. שבת פ"ד, ב), בעברית – ה' יצילנו. ע"ע </w:t>
      </w:r>
      <w:r w:rsidRPr="00863CCE">
        <w:rPr>
          <w:rFonts w:ascii="Keren" w:eastAsia="Times New Roman" w:hAnsi="Keren" w:cs="David"/>
          <w:b/>
          <w:bCs/>
          <w:sz w:val="26"/>
          <w:szCs w:val="20"/>
          <w:rtl/>
          <w:lang w:eastAsia="he-IL"/>
          <w14:ligatures w14:val="none"/>
        </w:rPr>
        <w:t>רחמנא ליצלן.</w:t>
      </w:r>
      <w:r w:rsidRPr="00863CCE">
        <w:rPr>
          <w:rFonts w:ascii="Keren" w:eastAsia="Times New Roman" w:hAnsi="Keren" w:cs="David"/>
          <w:sz w:val="26"/>
          <w:szCs w:val="20"/>
          <w:rtl/>
          <w:lang w:eastAsia="he-IL"/>
          <w14:ligatures w14:val="none"/>
        </w:rPr>
        <w:t xml:space="preserve"> </w:t>
      </w:r>
    </w:p>
    <w:p w:rsidR="00D5072B" w:rsidRDefault="00D1260F">
      <w:r w:rsidRPr="00863CCE">
        <w:rPr>
          <w:rFonts w:ascii="Keren" w:eastAsia="Times New Roman" w:hAnsi="Keren" w:cs="David"/>
          <w:b/>
          <w:bCs/>
          <w:sz w:val="26"/>
          <w:szCs w:val="20"/>
          <w:rtl/>
          <w:lang w:eastAsia="he-IL"/>
          <w14:ligatures w14:val="none"/>
        </w:rPr>
        <w:t>תנצב"ה</w:t>
      </w:r>
      <w:r w:rsidRPr="00863CCE">
        <w:rPr>
          <w:rFonts w:ascii="Keren" w:eastAsia="Times New Roman" w:hAnsi="Keren" w:cs="David"/>
          <w:sz w:val="26"/>
          <w:szCs w:val="20"/>
          <w:rtl/>
          <w:lang w:eastAsia="he-IL"/>
          <w14:ligatures w14:val="none"/>
        </w:rPr>
        <w:t xml:space="preserve"> – </w:t>
      </w:r>
      <w:r w:rsidRPr="00863CCE">
        <w:rPr>
          <w:rFonts w:ascii="Keren" w:eastAsia="Times New Roman" w:hAnsi="Keren" w:cs="David"/>
          <w:szCs w:val="20"/>
          <w:rtl/>
          <w:lang w:eastAsia="he-IL"/>
          <w14:ligatures w14:val="none"/>
        </w:rPr>
        <w:t xml:space="preserve">כיתוב מקובל על המצבה. ראשי תבות "תהא נשמתו \ נשמתה צרורה בצרור החיים". (יש הכותבים ת.נ.צ.ב.ה. אך מבחינה לשונית יש לכתוב בראשי תיבות – תנצב"ה, שכן השימוש בניקוד במקום בראשי תיבות לקוח מן הלועזית). ע"ע </w:t>
      </w:r>
      <w:r w:rsidRPr="00863CCE">
        <w:rPr>
          <w:rFonts w:ascii="Keren" w:eastAsia="Times New Roman" w:hAnsi="Keren" w:cs="David"/>
          <w:b/>
          <w:bCs/>
          <w:szCs w:val="20"/>
          <w:rtl/>
          <w:lang w:eastAsia="he-IL"/>
          <w14:ligatures w14:val="none"/>
        </w:rPr>
        <w:t>צרור החיים</w:t>
      </w:r>
      <w:r w:rsidRPr="00863CCE">
        <w:rPr>
          <w:rFonts w:ascii="Keren" w:eastAsia="Times New Roman" w:hAnsi="Keren" w:cs="David"/>
          <w:szCs w:val="20"/>
          <w:rtl/>
          <w:lang w:eastAsia="he-IL"/>
          <w14:ligatures w14:val="none"/>
        </w:rPr>
        <w:t>.</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60F"/>
    <w:rsid w:val="000D0A23"/>
    <w:rsid w:val="002C1211"/>
    <w:rsid w:val="005C4B14"/>
    <w:rsid w:val="00AA7185"/>
    <w:rsid w:val="00B22A00"/>
    <w:rsid w:val="00D1260F"/>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E7DE92-601E-4AE5-B0B2-4E69FD457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12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12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126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126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126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26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26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26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26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1260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1260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1260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1260F"/>
    <w:rPr>
      <w:rFonts w:eastAsiaTheme="majorEastAsia" w:cstheme="majorBidi"/>
      <w:i/>
      <w:iCs/>
      <w:color w:val="0F4761" w:themeColor="accent1" w:themeShade="BF"/>
    </w:rPr>
  </w:style>
  <w:style w:type="character" w:customStyle="1" w:styleId="50">
    <w:name w:val="כותרת 5 תו"/>
    <w:basedOn w:val="a0"/>
    <w:link w:val="5"/>
    <w:uiPriority w:val="9"/>
    <w:semiHidden/>
    <w:rsid w:val="00D1260F"/>
    <w:rPr>
      <w:rFonts w:eastAsiaTheme="majorEastAsia" w:cstheme="majorBidi"/>
      <w:color w:val="0F4761" w:themeColor="accent1" w:themeShade="BF"/>
    </w:rPr>
  </w:style>
  <w:style w:type="character" w:customStyle="1" w:styleId="60">
    <w:name w:val="כותרת 6 תו"/>
    <w:basedOn w:val="a0"/>
    <w:link w:val="6"/>
    <w:uiPriority w:val="9"/>
    <w:semiHidden/>
    <w:rsid w:val="00D1260F"/>
    <w:rPr>
      <w:rFonts w:eastAsiaTheme="majorEastAsia" w:cstheme="majorBidi"/>
      <w:i/>
      <w:iCs/>
      <w:color w:val="595959" w:themeColor="text1" w:themeTint="A6"/>
    </w:rPr>
  </w:style>
  <w:style w:type="character" w:customStyle="1" w:styleId="70">
    <w:name w:val="כותרת 7 תו"/>
    <w:basedOn w:val="a0"/>
    <w:link w:val="7"/>
    <w:uiPriority w:val="9"/>
    <w:semiHidden/>
    <w:rsid w:val="00D1260F"/>
    <w:rPr>
      <w:rFonts w:eastAsiaTheme="majorEastAsia" w:cstheme="majorBidi"/>
      <w:color w:val="595959" w:themeColor="text1" w:themeTint="A6"/>
    </w:rPr>
  </w:style>
  <w:style w:type="character" w:customStyle="1" w:styleId="80">
    <w:name w:val="כותרת 8 תו"/>
    <w:basedOn w:val="a0"/>
    <w:link w:val="8"/>
    <w:uiPriority w:val="9"/>
    <w:semiHidden/>
    <w:rsid w:val="00D1260F"/>
    <w:rPr>
      <w:rFonts w:eastAsiaTheme="majorEastAsia" w:cstheme="majorBidi"/>
      <w:i/>
      <w:iCs/>
      <w:color w:val="272727" w:themeColor="text1" w:themeTint="D8"/>
    </w:rPr>
  </w:style>
  <w:style w:type="character" w:customStyle="1" w:styleId="90">
    <w:name w:val="כותרת 9 תו"/>
    <w:basedOn w:val="a0"/>
    <w:link w:val="9"/>
    <w:uiPriority w:val="9"/>
    <w:semiHidden/>
    <w:rsid w:val="00D1260F"/>
    <w:rPr>
      <w:rFonts w:eastAsiaTheme="majorEastAsia" w:cstheme="majorBidi"/>
      <w:color w:val="272727" w:themeColor="text1" w:themeTint="D8"/>
    </w:rPr>
  </w:style>
  <w:style w:type="paragraph" w:styleId="a3">
    <w:name w:val="Title"/>
    <w:basedOn w:val="a"/>
    <w:next w:val="a"/>
    <w:link w:val="a4"/>
    <w:uiPriority w:val="10"/>
    <w:qFormat/>
    <w:rsid w:val="00D12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126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260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1260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1260F"/>
    <w:pPr>
      <w:spacing w:before="160"/>
      <w:jc w:val="center"/>
    </w:pPr>
    <w:rPr>
      <w:i/>
      <w:iCs/>
      <w:color w:val="404040" w:themeColor="text1" w:themeTint="BF"/>
    </w:rPr>
  </w:style>
  <w:style w:type="character" w:customStyle="1" w:styleId="a8">
    <w:name w:val="ציטוט תו"/>
    <w:basedOn w:val="a0"/>
    <w:link w:val="a7"/>
    <w:uiPriority w:val="29"/>
    <w:rsid w:val="00D1260F"/>
    <w:rPr>
      <w:i/>
      <w:iCs/>
      <w:color w:val="404040" w:themeColor="text1" w:themeTint="BF"/>
    </w:rPr>
  </w:style>
  <w:style w:type="paragraph" w:styleId="a9">
    <w:name w:val="List Paragraph"/>
    <w:basedOn w:val="a"/>
    <w:uiPriority w:val="34"/>
    <w:qFormat/>
    <w:rsid w:val="00D1260F"/>
    <w:pPr>
      <w:ind w:left="720"/>
      <w:contextualSpacing/>
    </w:pPr>
  </w:style>
  <w:style w:type="character" w:styleId="aa">
    <w:name w:val="Intense Emphasis"/>
    <w:basedOn w:val="a0"/>
    <w:uiPriority w:val="21"/>
    <w:qFormat/>
    <w:rsid w:val="00D1260F"/>
    <w:rPr>
      <w:i/>
      <w:iCs/>
      <w:color w:val="0F4761" w:themeColor="accent1" w:themeShade="BF"/>
    </w:rPr>
  </w:style>
  <w:style w:type="paragraph" w:styleId="ab">
    <w:name w:val="Intense Quote"/>
    <w:basedOn w:val="a"/>
    <w:next w:val="a"/>
    <w:link w:val="ac"/>
    <w:uiPriority w:val="30"/>
    <w:qFormat/>
    <w:rsid w:val="00D12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1260F"/>
    <w:rPr>
      <w:i/>
      <w:iCs/>
      <w:color w:val="0F4761" w:themeColor="accent1" w:themeShade="BF"/>
    </w:rPr>
  </w:style>
  <w:style w:type="character" w:styleId="ad">
    <w:name w:val="Intense Reference"/>
    <w:basedOn w:val="a0"/>
    <w:uiPriority w:val="32"/>
    <w:qFormat/>
    <w:rsid w:val="00D12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1946</Characters>
  <Application>Microsoft Office Word</Application>
  <DocSecurity>0</DocSecurity>
  <Lines>16</Lines>
  <Paragraphs>4</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