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62E6" w:rsidRPr="00863CCE" w:rsidRDefault="009962E6" w:rsidP="00863CCE">
      <w:pPr>
        <w:spacing w:after="0" w:line="360" w:lineRule="auto"/>
        <w:jc w:val="both"/>
        <w:outlineLvl w:val="6"/>
        <w:rPr>
          <w:rFonts w:ascii="Keren" w:eastAsia="Times New Roman" w:hAnsi="Keren" w:cs="David"/>
          <w:b/>
          <w:bCs/>
          <w:szCs w:val="20"/>
          <w:rtl/>
          <w:lang w:eastAsia="he-IL"/>
          <w14:ligatures w14:val="none"/>
        </w:rPr>
      </w:pPr>
      <w:bookmarkStart w:id="0" w:name="_Toc88530432"/>
      <w:r w:rsidRPr="00863CCE">
        <w:rPr>
          <w:rFonts w:ascii="Keren" w:eastAsia="Times New Roman" w:hAnsi="Keren" w:cs="David"/>
          <w:b/>
          <w:bCs/>
          <w:sz w:val="26"/>
          <w:szCs w:val="24"/>
          <w:rtl/>
          <w:lang w:eastAsia="he-IL"/>
          <w14:ligatures w14:val="none"/>
        </w:rPr>
        <w:t>שבעת ימי אבלות ושבעת ימי המשתה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"שבעת ימי אבלות ושבעת ימי המשתה:ערך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9962E6" w:rsidRPr="00863CCE" w:rsidRDefault="009962E6" w:rsidP="00863CCE">
      <w:pPr>
        <w:spacing w:after="0" w:line="360" w:lineRule="auto"/>
        <w:ind w:left="543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משה רבנו תיקן להם לישראל </w:t>
      </w:r>
    </w:p>
    <w:p w:rsidR="009962E6" w:rsidRPr="00863CCE" w:rsidRDefault="009962E6" w:rsidP="00863CCE">
      <w:pPr>
        <w:spacing w:after="0" w:line="360" w:lineRule="auto"/>
        <w:ind w:left="543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שבעת ימי אבלות ושבעת ימי המשתה.</w:t>
      </w:r>
    </w:p>
    <w:p w:rsidR="009962E6" w:rsidRPr="00863CCE" w:rsidRDefault="009962E6" w:rsidP="00863CCE">
      <w:pPr>
        <w:spacing w:after="0" w:line="360" w:lineRule="auto"/>
        <w:ind w:left="5079"/>
        <w:jc w:val="right"/>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רמב"ם הלכות אבל פרק א, א</w:t>
      </w:r>
    </w:p>
    <w:p w:rsidR="009962E6" w:rsidRPr="00863CCE" w:rsidRDefault="009962E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יש הקבלות רבות בין שבעת ימי אבלות לשבעת ימי המשתה של חתן וכלה. בנוסף למניין הימים המקביל בשבעה, ישנה הקבלה גם במושגים של שלושים יום ושל שנה. יש שלושים יום באבלות, וגם לגבי נישואין, להבדיל,</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Cs w:val="20"/>
          <w:rtl/>
          <w:lang w:eastAsia="he-IL"/>
          <w14:ligatures w14:val="none"/>
        </w:rPr>
        <w:instrText>נישואין:</w:instrText>
      </w:r>
      <w:r w:rsidRPr="00863CCE">
        <w:rPr>
          <w:rFonts w:ascii="Keren" w:eastAsia="Times New Roman" w:hAnsi="Keren" w:cs="David"/>
          <w:sz w:val="28"/>
          <w:szCs w:val="24"/>
          <w:rtl/>
          <w:lang w:eastAsia="he-IL"/>
          <w14:ligatures w14:val="none"/>
        </w:rPr>
        <w:instrText>שבעת ימי אבלות ושבעת ימי המשתה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כלה מוגדרת ככלה במשך שלושים יום מנישואיה, ולכן למשל יכולה לרחוץ פניה ביום הכיפורים (משנה יומא עג, א). אבלות שנים עשר חודש על אב ואם מקבילה לשנת הנישואין הראשונה, שבה מצוּוֶה החתן לשמח את אשתו, ולכן אינו יוצא לצבא בתקופה זו (דברים כד, ה). הרמב"ם (הלכות ברכות פרק ה, ה) כותב שהיו מזכירים בזימון "שהשמחה במעונו" שלושים יום אחרי הנישואין, ואם היתה זו סעודה מחמת הנישואין, מזכירים "שהשמחה במעונו" עד שנים עשר חודש מהנישואין. </w:t>
      </w:r>
    </w:p>
    <w:p w:rsidR="009962E6" w:rsidRPr="00863CCE" w:rsidRDefault="009962E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חתן מיסב בראש וגם אבל מיסב בראש (מועד קטן כח, ב). חתן דומה למלך וחולקים לו כבוד מיוחד, גם לאבל חולקים כבוד – "הכל חייבים לעמוד מפני נשיא, חוץ מאבל וחולה" (רמב"ם הלכות אבל פרק יג, ה).</w:t>
      </w:r>
    </w:p>
    <w:p w:rsidR="009962E6" w:rsidRPr="00863CCE" w:rsidRDefault="009962E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מנהג ה</w:t>
      </w:r>
      <w:r w:rsidRPr="00863CCE">
        <w:rPr>
          <w:rFonts w:ascii="Keren" w:eastAsia="Times New Roman" w:hAnsi="Keren" w:cs="David"/>
          <w:b/>
          <w:bCs/>
          <w:szCs w:val="20"/>
          <w:rtl/>
          <w:lang w:eastAsia="he-IL"/>
          <w14:ligatures w14:val="none"/>
        </w:rPr>
        <w:t>הקפות</w:t>
      </w:r>
      <w:r w:rsidRPr="00863CCE">
        <w:rPr>
          <w:rFonts w:ascii="Keren" w:eastAsia="Times New Roman" w:hAnsi="Keren" w:cs="David"/>
          <w:szCs w:val="20"/>
          <w:rtl/>
          <w:lang w:eastAsia="he-IL"/>
          <w14:ligatures w14:val="none"/>
        </w:rPr>
        <w:t xml:space="preserve"> בקבורה שמקיפים נפטר שבע פעמים לאחר הקבורה, מקביל למנהג שהכלה מקיפה את החתן שבע פעמים מתחת לחופה</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6"/>
          <w:szCs w:val="24"/>
          <w:rtl/>
          <w:lang w:eastAsia="he-IL"/>
          <w14:ligatures w14:val="none"/>
        </w:rPr>
        <w:instrText>חופה</w:instrText>
      </w:r>
      <w:r w:rsidRPr="00863CCE">
        <w:rPr>
          <w:rFonts w:ascii="Keren" w:eastAsia="Times New Roman" w:hAnsi="Keren" w:cs="David"/>
          <w:szCs w:val="20"/>
          <w:rtl/>
          <w:lang w:eastAsia="he-IL"/>
          <w14:ligatures w14:val="none"/>
        </w:rPr>
        <w:instrText>:</w:instrText>
      </w:r>
      <w:r w:rsidRPr="00863CCE">
        <w:rPr>
          <w:rFonts w:ascii="Keren" w:eastAsia="Times New Roman" w:hAnsi="Keren" w:cs="David"/>
          <w:sz w:val="28"/>
          <w:szCs w:val="24"/>
          <w:rtl/>
          <w:lang w:eastAsia="he-IL"/>
          <w14:ligatures w14:val="none"/>
        </w:rPr>
        <w:instrText>השוואה בין מנהגי חופה למנהגי אבלות</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w:t>
      </w:r>
    </w:p>
    <w:p w:rsidR="009962E6" w:rsidRPr="00863CCE" w:rsidRDefault="009962E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מתחת לחופה שוברים כוס לזכר חורבן ירושלים. ויש מנהג של </w:t>
      </w:r>
      <w:r w:rsidRPr="00863CCE">
        <w:rPr>
          <w:rFonts w:ascii="Keren" w:eastAsia="Times New Roman" w:hAnsi="Keren" w:cs="David"/>
          <w:b/>
          <w:bCs/>
          <w:szCs w:val="20"/>
          <w:rtl/>
          <w:lang w:eastAsia="he-IL"/>
          <w14:ligatures w14:val="none"/>
        </w:rPr>
        <w:t xml:space="preserve">שבירת חרס </w:t>
      </w:r>
      <w:r w:rsidRPr="00863CCE">
        <w:rPr>
          <w:rFonts w:ascii="Keren" w:eastAsia="Times New Roman" w:hAnsi="Keren" w:cs="David"/>
          <w:szCs w:val="20"/>
          <w:rtl/>
          <w:lang w:eastAsia="he-IL"/>
          <w14:ligatures w14:val="none"/>
        </w:rPr>
        <w:t xml:space="preserve">בתחילת הלוויה. </w:t>
      </w:r>
    </w:p>
    <w:p w:rsidR="009962E6" w:rsidRPr="00863CCE" w:rsidRDefault="009962E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היה מנהג קדום המוזכר בגמרא (כתובות ח, ב) ונפסק להלכה (רמב"ם הלכות אבל פרק יג, ח) של </w:t>
      </w:r>
      <w:r w:rsidRPr="00863CCE">
        <w:rPr>
          <w:rFonts w:ascii="Keren" w:eastAsia="Times New Roman" w:hAnsi="Keren" w:cs="David"/>
          <w:b/>
          <w:bCs/>
          <w:szCs w:val="20"/>
          <w:rtl/>
          <w:lang w:eastAsia="he-IL"/>
          <w14:ligatures w14:val="none"/>
        </w:rPr>
        <w:t>עשר כוסות</w:t>
      </w:r>
      <w:r w:rsidRPr="00863CCE">
        <w:rPr>
          <w:rFonts w:ascii="Keren" w:eastAsia="Times New Roman" w:hAnsi="Keren" w:cs="David"/>
          <w:szCs w:val="20"/>
          <w:rtl/>
          <w:lang w:eastAsia="he-IL"/>
          <w14:ligatures w14:val="none"/>
        </w:rPr>
        <w:t xml:space="preserve"> של יין שהיו משקים בבית האבל, ויש לכך סימוכין במקרא "</w:t>
      </w:r>
      <w:r w:rsidRPr="00863CCE">
        <w:rPr>
          <w:rFonts w:ascii="Times New Roman" w:eastAsia="Times New Roman" w:hAnsi="Times New Roman" w:cs="David"/>
          <w:sz w:val="18"/>
          <w:szCs w:val="20"/>
          <w:rtl/>
          <w:lang w:eastAsia="he-IL"/>
          <w14:ligatures w14:val="none"/>
        </w:rPr>
        <w:t>תְּנוּ שֵׁכָר לְאוֹבֵד וְיַיִן לְמָרֵי נָפֶשׁ</w:t>
      </w:r>
      <w:r w:rsidRPr="00863CCE">
        <w:rPr>
          <w:rFonts w:ascii="Keren" w:eastAsia="Times New Roman" w:hAnsi="Keren" w:cs="David"/>
          <w:szCs w:val="20"/>
          <w:rtl/>
          <w:lang w:eastAsia="he-IL"/>
          <w14:ligatures w14:val="none"/>
        </w:rPr>
        <w:t xml:space="preserve">" (משלי לא ,ו), מנהג שמזכיר את בית משתה היין בשבעת ימי המשתה של חתן וכלה. </w:t>
      </w:r>
    </w:p>
    <w:p w:rsidR="009962E6" w:rsidRPr="00863CCE" w:rsidRDefault="009962E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הגמרא (שם ח, א – ב) משוה ברכת חתנים ל</w:t>
      </w:r>
      <w:r w:rsidRPr="00863CCE">
        <w:rPr>
          <w:rFonts w:ascii="Keren" w:eastAsia="Times New Roman" w:hAnsi="Keren" w:cs="David"/>
          <w:b/>
          <w:bCs/>
          <w:szCs w:val="20"/>
          <w:rtl/>
          <w:lang w:eastAsia="he-IL"/>
          <w14:ligatures w14:val="none"/>
        </w:rPr>
        <w:t>ברכת אבלים</w:t>
      </w:r>
      <w:r w:rsidRPr="00863CCE">
        <w:rPr>
          <w:rFonts w:ascii="Keren" w:eastAsia="Times New Roman" w:hAnsi="Keren" w:cs="David"/>
          <w:szCs w:val="20"/>
          <w:rtl/>
          <w:lang w:eastAsia="he-IL"/>
          <w14:ligatures w14:val="none"/>
        </w:rPr>
        <w:t xml:space="preserve">, ברכת חתנים בעשרה וברכת אבלים בעשרה. הרמב"ן (תורת האדם עמוד קנד, קנה) כותב שהיו מברכים ברכת אבלים כל שבעה אם היו פנים חדשות, כמו שמקובל לגבי שבע ברכות של חתן וכלה. </w:t>
      </w:r>
    </w:p>
    <w:p w:rsidR="009962E6" w:rsidRPr="00863CCE" w:rsidRDefault="009962E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המנהג בזמן המשנה והתלמוד היה לקבור בליווי </w:t>
      </w:r>
      <w:r w:rsidRPr="00863CCE">
        <w:rPr>
          <w:rFonts w:ascii="Keren" w:eastAsia="Times New Roman" w:hAnsi="Keren" w:cs="David"/>
          <w:b/>
          <w:bCs/>
          <w:szCs w:val="20"/>
          <w:rtl/>
          <w:lang w:eastAsia="he-IL"/>
          <w14:ligatures w14:val="none"/>
        </w:rPr>
        <w:t>מקוננות</w:t>
      </w:r>
      <w:r w:rsidRPr="00863CCE">
        <w:rPr>
          <w:rFonts w:ascii="Keren" w:eastAsia="Times New Roman" w:hAnsi="Keren" w:cs="David"/>
          <w:szCs w:val="20"/>
          <w:rtl/>
          <w:lang w:eastAsia="he-IL"/>
          <w14:ligatures w14:val="none"/>
        </w:rPr>
        <w:t xml:space="preserve"> וכלי זמר (משנה כתובות ד, ד), כמו שיש כלי זמר בחופה, אך כמובן שהתכלית והמנגינות שונות ואף הפוכות.</w:t>
      </w:r>
    </w:p>
    <w:p w:rsidR="009962E6" w:rsidRPr="00863CCE" w:rsidRDefault="009962E6"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ההלכה כוללת ניחום אבלים וקבורת המת, עם המצוה לשמח חתן וכלה:</w:t>
      </w:r>
    </w:p>
    <w:p w:rsidR="009962E6" w:rsidRPr="00863CCE" w:rsidRDefault="009962E6" w:rsidP="00863CCE">
      <w:pPr>
        <w:spacing w:after="0" w:line="360" w:lineRule="auto"/>
        <w:ind w:left="38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מצות עשה של דבריהם לבקר חולים, ולנחם אבלים, ולהוציא המת, וללוות האורחים, ולהתעסק בכל צרכי הקבורה, לשאת על הכתף, ולילך לפניו לספוד ולחפור ולקבור, וכן לשמח הכלה והחתן ולסעדם בכל צרכיהם; ואלו הן גמילות חסדים שאין  להם שיעור. אף על פי שכל מצוות אלו מדבריהם, הרי הן בכלל </w:t>
      </w:r>
      <w:r w:rsidRPr="00863CCE">
        <w:rPr>
          <w:rFonts w:ascii="Times New Roman" w:eastAsia="Times New Roman" w:hAnsi="Times New Roman" w:cs="David"/>
          <w:sz w:val="20"/>
          <w:szCs w:val="20"/>
          <w:rtl/>
          <w14:ligatures w14:val="none"/>
        </w:rPr>
        <w:t>וְאָהַבְתָּ לְרֵעֲךָ כָּמוֹךָ</w:t>
      </w:r>
      <w:r w:rsidRPr="00863CCE">
        <w:rPr>
          <w:rFonts w:ascii="Keren" w:eastAsia="Times New Roman" w:hAnsi="Keren" w:cs="David"/>
          <w:szCs w:val="20"/>
          <w:rtl/>
          <w:lang w:eastAsia="he-IL"/>
          <w14:ligatures w14:val="none"/>
        </w:rPr>
        <w:t xml:space="preserve"> (ויקרא יט, יח). כל הדברים שאתה רוצה שיעשו אותם לך אחרים, עשה אתה אותן לאחיך בתורה ובמצוות (רמב"ם הלכות אבל פרק יד, א).</w:t>
      </w:r>
    </w:p>
    <w:p w:rsidR="009962E6" w:rsidRPr="00863CCE" w:rsidRDefault="009962E6" w:rsidP="00863CCE">
      <w:pPr>
        <w:autoSpaceDE w:val="0"/>
        <w:autoSpaceDN w:val="0"/>
        <w:adjustRightInd w:val="0"/>
        <w:spacing w:after="0" w:line="360" w:lineRule="auto"/>
        <w:jc w:val="both"/>
        <w:rPr>
          <w:rFonts w:ascii="Keren" w:eastAsia="Times New Roman" w:hAnsi="Keren" w:cs="David"/>
          <w:szCs w:val="20"/>
          <w:rtl/>
          <w:lang w:eastAsia="he-IL"/>
          <w14:ligatures w14:val="none"/>
        </w:rPr>
      </w:pPr>
    </w:p>
    <w:p w:rsidR="009962E6" w:rsidRPr="00863CCE" w:rsidRDefault="009962E6"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לאחר שראינו את ההקבלות, ננסה לתת להן הסבר. כדי להסביר את ההקבלה בזמנים נתמקד במילה 'תהליך'. מדובר באירועים המשמעותיים ביותר בחייו של אדם, אירועים הגורמים שינויים להמשך החיים, לעתים השינויים המשמעותיים ביותר בחיים. אמנם בנישואין ישנה שמחה עצומה בהיפוך גמור מהצער העמוק של האבלות, אולם למרות הבדל תהומי זה, יש עיקרון משותף של תהליך הסתגלות הדרגתי למצב שנתחדש. כך ניתן להסביר את מושגי הזמן - שבעה, שלושים ושנה - כחלק מהסתגלות הדרגתית זו. </w:t>
      </w:r>
    </w:p>
    <w:p w:rsidR="009962E6" w:rsidRPr="00863CCE" w:rsidRDefault="009962E6"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לגבי הכבוד שמעניקים לחתן ולאבל: ההלכה היהודית מדריכה את החברה ואת הקהילה להתמקד וללוות את החתן והכלה וגם את האבלים. הכבוד המיוחד אמנם שונה בסיבותיו, אך יש הכרה למעמד המיוחד גם אצל החתן והכלה וגם אצל האבל, ובאופן סמלי בא הדבר לידי ביטוי בכך שמושיבים אותם בראש. אצל האבלים וגם אצל חתן וכלה עלול להתעורר חשש כתוצאה מהשינוי הגדול שעבר עליהם, לעיתים עד כדי פחד מהעתיד הבלתי ידוע. אצל האבלים עקב הזעזוע לאחר פטירת יקירם, ואפילו אצל החתן והכלה שעזבו את הבית המוכר והבטוח של אבא ואמא, ומקבלים עליהם את האחריות לבנות בית עצמאי. לכן יש מצוה לשמח חתן וכלה, ולהבדיל, לנחם אבלים. הכרה חברתית ברגשות האבל וברגשות החתן מלמדת על ההשתתפות ברגשותיהם, שהיא חיונית, תומכת ומעודדת. </w:t>
      </w:r>
    </w:p>
    <w:p w:rsidR="009962E6" w:rsidRPr="00863CCE" w:rsidRDefault="009962E6" w:rsidP="00863CCE">
      <w:pPr>
        <w:autoSpaceDE w:val="0"/>
        <w:autoSpaceDN w:val="0"/>
        <w:adjustRightInd w:val="0"/>
        <w:spacing w:after="0" w:line="360" w:lineRule="auto"/>
        <w:jc w:val="both"/>
        <w:rPr>
          <w:rFonts w:ascii="Keren" w:eastAsia="Times New Roman" w:hAnsi="Keren" w:cs="David"/>
          <w:b/>
          <w:bCs/>
          <w:szCs w:val="20"/>
          <w:rtl/>
          <w:lang w:eastAsia="he-IL"/>
          <w14:ligatures w14:val="none"/>
        </w:rPr>
      </w:pPr>
      <w:r w:rsidRPr="00863CCE">
        <w:rPr>
          <w:rFonts w:ascii="Keren" w:eastAsia="Times New Roman" w:hAnsi="Keren" w:cs="David"/>
          <w:szCs w:val="20"/>
          <w:rtl/>
          <w:lang w:eastAsia="he-IL"/>
          <w14:ligatures w14:val="none"/>
        </w:rPr>
        <w:t xml:space="preserve">לגבי ההקפות: ההקפות מסמלות שמירה, ולכן מקיפים את הנפטר להגן עליו מכוחות הטומאה המתנכלים לו בזמן הרגיש של הקבורה. כך גם ההקפות בחופה, חז"ל אמרו שכל אדם שאין לו אשה שרוי בלא שמחה בלא ברכה בלא טובה בלא תורה בלא חומה ובלא שלום (יבמות סב, ב). הכלה מהווה שמירה לבעלה משגיאות החיים ומפיתוייהם. האבלות והנישואין הם מעברים בחיים בשלבים רגישים המצריכים שמירה. ההקפות מסמלות שמירה זו. ע"ע </w:t>
      </w:r>
      <w:r w:rsidRPr="00863CCE">
        <w:rPr>
          <w:rFonts w:ascii="Keren" w:eastAsia="Times New Roman" w:hAnsi="Keren" w:cs="David"/>
          <w:b/>
          <w:bCs/>
          <w:szCs w:val="20"/>
          <w:rtl/>
          <w:lang w:eastAsia="he-IL"/>
          <w14:ligatures w14:val="none"/>
        </w:rPr>
        <w:t xml:space="preserve">הקפות. מעבר יבק. </w:t>
      </w:r>
    </w:p>
    <w:p w:rsidR="009962E6" w:rsidRPr="00863CCE" w:rsidRDefault="009962E6" w:rsidP="00863CCE">
      <w:pPr>
        <w:autoSpaceDE w:val="0"/>
        <w:autoSpaceDN w:val="0"/>
        <w:adjustRightInd w:val="0"/>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לגבי הברכות המיוחדות: הברכות באות להזכיר שם שמים, וללמד על קבלת תהליכי מעגל החיים וההשלמה עמהם, גם בשמחה וגם באבלות. "</w:t>
      </w:r>
      <w:r w:rsidRPr="00863CCE">
        <w:rPr>
          <w:rFonts w:ascii="Keren" w:eastAsia="Times New Roman" w:hAnsi="Keren" w:cs="David"/>
          <w:sz w:val="20"/>
          <w:szCs w:val="20"/>
          <w:rtl/>
          <w:lang w:eastAsia="he-IL"/>
          <w14:ligatures w14:val="none"/>
        </w:rPr>
        <w:t>כּוֹס יְשׁוּעוֹת אֶשָּׂא וּבְשֵׁם ה' אֶקְרָא</w:t>
      </w:r>
      <w:r w:rsidRPr="00863CCE">
        <w:rPr>
          <w:rFonts w:ascii="Keren" w:eastAsia="Times New Roman" w:hAnsi="Keren" w:cs="David"/>
          <w:szCs w:val="20"/>
          <w:rtl/>
          <w:lang w:eastAsia="he-IL"/>
          <w14:ligatures w14:val="none"/>
        </w:rPr>
        <w:t>" (תהלים קטז, יג), מקביל ל"</w:t>
      </w:r>
      <w:r w:rsidRPr="00863CCE">
        <w:rPr>
          <w:rFonts w:ascii="Keren" w:eastAsia="Times New Roman" w:hAnsi="Keren" w:cs="David"/>
          <w:sz w:val="20"/>
          <w:szCs w:val="20"/>
          <w:rtl/>
          <w:lang w:eastAsia="he-IL"/>
          <w14:ligatures w14:val="none"/>
        </w:rPr>
        <w:t>צָרָה וְיָגוֹן אֶמְצָא וּבְשֵׁם ה' אֶקְרָא</w:t>
      </w:r>
      <w:r w:rsidRPr="00863CCE">
        <w:rPr>
          <w:rFonts w:ascii="Keren" w:eastAsia="Times New Roman" w:hAnsi="Keren" w:cs="David"/>
          <w:szCs w:val="20"/>
          <w:rtl/>
          <w:lang w:eastAsia="he-IL"/>
          <w14:ligatures w14:val="none"/>
        </w:rPr>
        <w:t xml:space="preserve">" (שם ג – ד), תמיד קוראים בשם ה'. </w:t>
      </w:r>
    </w:p>
    <w:p w:rsidR="00D5072B" w:rsidRDefault="009962E6">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הקפות. חייב אדם לברך על הרעה כשם שמברך על הטובה. עשר כוסות של בית האבל.</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2E6"/>
    <w:rsid w:val="000D0A23"/>
    <w:rsid w:val="002C1211"/>
    <w:rsid w:val="005C4B14"/>
    <w:rsid w:val="009962E6"/>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CF9565-6B57-40EC-B812-583D2AED4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96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96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962E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962E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962E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962E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962E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962E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962E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962E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962E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962E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962E6"/>
    <w:rPr>
      <w:rFonts w:eastAsiaTheme="majorEastAsia" w:cstheme="majorBidi"/>
      <w:i/>
      <w:iCs/>
      <w:color w:val="0F4761" w:themeColor="accent1" w:themeShade="BF"/>
    </w:rPr>
  </w:style>
  <w:style w:type="character" w:customStyle="1" w:styleId="50">
    <w:name w:val="כותרת 5 תו"/>
    <w:basedOn w:val="a0"/>
    <w:link w:val="5"/>
    <w:uiPriority w:val="9"/>
    <w:semiHidden/>
    <w:rsid w:val="009962E6"/>
    <w:rPr>
      <w:rFonts w:eastAsiaTheme="majorEastAsia" w:cstheme="majorBidi"/>
      <w:color w:val="0F4761" w:themeColor="accent1" w:themeShade="BF"/>
    </w:rPr>
  </w:style>
  <w:style w:type="character" w:customStyle="1" w:styleId="60">
    <w:name w:val="כותרת 6 תו"/>
    <w:basedOn w:val="a0"/>
    <w:link w:val="6"/>
    <w:uiPriority w:val="9"/>
    <w:semiHidden/>
    <w:rsid w:val="009962E6"/>
    <w:rPr>
      <w:rFonts w:eastAsiaTheme="majorEastAsia" w:cstheme="majorBidi"/>
      <w:i/>
      <w:iCs/>
      <w:color w:val="595959" w:themeColor="text1" w:themeTint="A6"/>
    </w:rPr>
  </w:style>
  <w:style w:type="character" w:customStyle="1" w:styleId="70">
    <w:name w:val="כותרת 7 תו"/>
    <w:basedOn w:val="a0"/>
    <w:link w:val="7"/>
    <w:uiPriority w:val="9"/>
    <w:semiHidden/>
    <w:rsid w:val="009962E6"/>
    <w:rPr>
      <w:rFonts w:eastAsiaTheme="majorEastAsia" w:cstheme="majorBidi"/>
      <w:color w:val="595959" w:themeColor="text1" w:themeTint="A6"/>
    </w:rPr>
  </w:style>
  <w:style w:type="character" w:customStyle="1" w:styleId="80">
    <w:name w:val="כותרת 8 תו"/>
    <w:basedOn w:val="a0"/>
    <w:link w:val="8"/>
    <w:uiPriority w:val="9"/>
    <w:semiHidden/>
    <w:rsid w:val="009962E6"/>
    <w:rPr>
      <w:rFonts w:eastAsiaTheme="majorEastAsia" w:cstheme="majorBidi"/>
      <w:i/>
      <w:iCs/>
      <w:color w:val="272727" w:themeColor="text1" w:themeTint="D8"/>
    </w:rPr>
  </w:style>
  <w:style w:type="character" w:customStyle="1" w:styleId="90">
    <w:name w:val="כותרת 9 תו"/>
    <w:basedOn w:val="a0"/>
    <w:link w:val="9"/>
    <w:uiPriority w:val="9"/>
    <w:semiHidden/>
    <w:rsid w:val="009962E6"/>
    <w:rPr>
      <w:rFonts w:eastAsiaTheme="majorEastAsia" w:cstheme="majorBidi"/>
      <w:color w:val="272727" w:themeColor="text1" w:themeTint="D8"/>
    </w:rPr>
  </w:style>
  <w:style w:type="paragraph" w:styleId="a3">
    <w:name w:val="Title"/>
    <w:basedOn w:val="a"/>
    <w:next w:val="a"/>
    <w:link w:val="a4"/>
    <w:uiPriority w:val="10"/>
    <w:qFormat/>
    <w:rsid w:val="00996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962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962E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962E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962E6"/>
    <w:pPr>
      <w:spacing w:before="160"/>
      <w:jc w:val="center"/>
    </w:pPr>
    <w:rPr>
      <w:i/>
      <w:iCs/>
      <w:color w:val="404040" w:themeColor="text1" w:themeTint="BF"/>
    </w:rPr>
  </w:style>
  <w:style w:type="character" w:customStyle="1" w:styleId="a8">
    <w:name w:val="ציטוט תו"/>
    <w:basedOn w:val="a0"/>
    <w:link w:val="a7"/>
    <w:uiPriority w:val="29"/>
    <w:rsid w:val="009962E6"/>
    <w:rPr>
      <w:i/>
      <w:iCs/>
      <w:color w:val="404040" w:themeColor="text1" w:themeTint="BF"/>
    </w:rPr>
  </w:style>
  <w:style w:type="paragraph" w:styleId="a9">
    <w:name w:val="List Paragraph"/>
    <w:basedOn w:val="a"/>
    <w:uiPriority w:val="34"/>
    <w:qFormat/>
    <w:rsid w:val="009962E6"/>
    <w:pPr>
      <w:ind w:left="720"/>
      <w:contextualSpacing/>
    </w:pPr>
  </w:style>
  <w:style w:type="character" w:styleId="aa">
    <w:name w:val="Intense Emphasis"/>
    <w:basedOn w:val="a0"/>
    <w:uiPriority w:val="21"/>
    <w:qFormat/>
    <w:rsid w:val="009962E6"/>
    <w:rPr>
      <w:i/>
      <w:iCs/>
      <w:color w:val="0F4761" w:themeColor="accent1" w:themeShade="BF"/>
    </w:rPr>
  </w:style>
  <w:style w:type="paragraph" w:styleId="ab">
    <w:name w:val="Intense Quote"/>
    <w:basedOn w:val="a"/>
    <w:next w:val="a"/>
    <w:link w:val="ac"/>
    <w:uiPriority w:val="30"/>
    <w:qFormat/>
    <w:rsid w:val="00996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962E6"/>
    <w:rPr>
      <w:i/>
      <w:iCs/>
      <w:color w:val="0F4761" w:themeColor="accent1" w:themeShade="BF"/>
    </w:rPr>
  </w:style>
  <w:style w:type="character" w:styleId="ad">
    <w:name w:val="Intense Reference"/>
    <w:basedOn w:val="a0"/>
    <w:uiPriority w:val="32"/>
    <w:qFormat/>
    <w:rsid w:val="009962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698</Words>
  <Characters>3492</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2025-12-04T23:15:00Z</dcterms:modified>
</cp:coreProperties>
</file>