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3BA5" w:rsidRPr="00863CCE" w:rsidRDefault="00023BA5" w:rsidP="00863CCE">
      <w:pPr>
        <w:spacing w:after="0" w:line="360" w:lineRule="auto"/>
        <w:jc w:val="both"/>
        <w:outlineLvl w:val="6"/>
        <w:rPr>
          <w:rFonts w:ascii="Keren" w:eastAsia="Times New Roman" w:hAnsi="Keren" w:cs="David"/>
          <w:b/>
          <w:bCs/>
          <w:szCs w:val="20"/>
          <w:rtl/>
          <w:lang w:eastAsia="he-IL"/>
          <w14:ligatures w14:val="none"/>
        </w:rPr>
      </w:pPr>
      <w:r w:rsidRPr="00863CCE">
        <w:rPr>
          <w:rFonts w:ascii="Keren" w:eastAsia="Times New Roman" w:hAnsi="Keren" w:cs="David"/>
          <w:b/>
          <w:bCs/>
          <w:sz w:val="26"/>
          <w:szCs w:val="24"/>
          <w:rtl/>
          <w:lang w:eastAsia="he-IL"/>
          <w14:ligatures w14:val="none"/>
        </w:rPr>
        <w:t>שבעת ימי אבלות</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"שבעת ימי אבלות:ערך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023BA5" w:rsidRPr="00863CCE" w:rsidRDefault="00023BA5"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משה רבנו התקין שבעת ימי אבלות, אף על פי שאבלות מהתורה נוהגת רק יום אחד (ירושלמי כתובות פרק א). יש לאבלות רמז שבעת ימים שנאמר ביוסף "</w:t>
      </w:r>
      <w:r w:rsidRPr="00863CCE">
        <w:rPr>
          <w:rFonts w:ascii="Keren" w:eastAsia="Times New Roman" w:hAnsi="Keren" w:cs="David"/>
          <w:sz w:val="20"/>
          <w:szCs w:val="20"/>
          <w:rtl/>
          <w:lang w:eastAsia="he-IL"/>
          <w14:ligatures w14:val="none"/>
        </w:rPr>
        <w:t>וַיַּעַשׂ לְאָבִיו אֵבֶל שִׁבְעַת יָמִים</w:t>
      </w:r>
      <w:r w:rsidRPr="00863CCE">
        <w:rPr>
          <w:rFonts w:ascii="Keren" w:eastAsia="Times New Roman" w:hAnsi="Keren" w:cs="David"/>
          <w:szCs w:val="20"/>
          <w:rtl/>
          <w:lang w:eastAsia="he-IL"/>
          <w14:ligatures w14:val="none"/>
        </w:rPr>
        <w:t>" (בראשית נ, י). גם דרשו על הפסוק "</w:t>
      </w:r>
      <w:r w:rsidRPr="00863CCE">
        <w:rPr>
          <w:rFonts w:ascii="Keren" w:eastAsia="Times New Roman" w:hAnsi="Keren" w:cs="David"/>
          <w:sz w:val="20"/>
          <w:szCs w:val="20"/>
          <w:rtl/>
          <w:lang w:eastAsia="he-IL"/>
          <w14:ligatures w14:val="none"/>
        </w:rPr>
        <w:t>וַיְהִי לְשִׁבְעַת הַיָּמִים וּמֵי הַמַּבּוּל הָיוּ עַל הָאָרֶץ</w:t>
      </w:r>
      <w:r w:rsidRPr="00863CCE">
        <w:rPr>
          <w:rFonts w:ascii="Keren" w:eastAsia="Times New Roman" w:hAnsi="Keren" w:cs="David"/>
          <w:szCs w:val="20"/>
          <w:rtl/>
          <w:lang w:eastAsia="he-IL"/>
          <w14:ligatures w14:val="none"/>
        </w:rPr>
        <w:t>" (בראשית ז, י) – "אלו שבעת ימי אבלותו של מתושלח הצדיק שהקב"ה המתין ולא הוריד את המבול, ללמדך שהספדן של צדיקים מעכבין את הפורענות מלבא" (סנהדרין קח, ב). אסמכתא נוספת הביאו מהפסוק "</w:t>
      </w:r>
      <w:r w:rsidRPr="00863CCE">
        <w:rPr>
          <w:rFonts w:ascii="Keren" w:eastAsia="Times New Roman" w:hAnsi="Keren" w:cs="David"/>
          <w:sz w:val="20"/>
          <w:szCs w:val="20"/>
          <w:rtl/>
          <w:lang w:eastAsia="he-IL"/>
          <w14:ligatures w14:val="none"/>
        </w:rPr>
        <w:t>וְהָפַכְתִּי חַגֵּיכֶם לְאֵבֶל</w:t>
      </w:r>
      <w:r w:rsidRPr="00863CCE">
        <w:rPr>
          <w:rFonts w:ascii="Keren" w:eastAsia="Times New Roman" w:hAnsi="Keren" w:cs="David"/>
          <w:szCs w:val="20"/>
          <w:rtl/>
          <w:lang w:eastAsia="he-IL"/>
          <w14:ligatures w14:val="none"/>
        </w:rPr>
        <w:t>" (עמוס ח, י) – "מה חג שבעה, אף אבלות שבעה" (מועד קטן כ, א). במדרש (תנחומא תחילת פרשת שמיני) דרשו "</w:t>
      </w:r>
      <w:r w:rsidRPr="00863CCE">
        <w:rPr>
          <w:rFonts w:ascii="Keren" w:eastAsia="Times New Roman" w:hAnsi="Keren" w:cs="David"/>
          <w:sz w:val="20"/>
          <w:szCs w:val="20"/>
          <w:rtl/>
          <w:lang w:eastAsia="he-IL"/>
          <w14:ligatures w14:val="none"/>
        </w:rPr>
        <w:t xml:space="preserve">וּמִפֶּתַח אֹהֶל מוֹעֵד לֹא תֵצְאוּ שִׁבְעַת יָמִים </w:t>
      </w:r>
      <w:r w:rsidRPr="00863CCE">
        <w:rPr>
          <w:rFonts w:ascii="Keren" w:eastAsia="Times New Roman" w:hAnsi="Keren" w:cs="David"/>
          <w:szCs w:val="20"/>
          <w:rtl/>
          <w:lang w:eastAsia="he-IL"/>
          <w14:ligatures w14:val="none"/>
        </w:rPr>
        <w:t>" (ויקרא ח, לג) – "אמר להם משה לאהרן ולבניו: שמרו אבלות שבעת ימים עד שלא יגיע בכם".</w:t>
      </w:r>
    </w:p>
    <w:p w:rsidR="00D5072B" w:rsidRDefault="00023BA5">
      <w:r w:rsidRPr="00863CCE">
        <w:rPr>
          <w:rFonts w:ascii="Keren" w:eastAsia="Times New Roman" w:hAnsi="Keren" w:cs="David"/>
          <w:szCs w:val="20"/>
          <w:rtl/>
          <w:lang w:eastAsia="he-IL"/>
          <w14:ligatures w14:val="none"/>
        </w:rPr>
        <w:t>עיקר הטעם לנוח מעסקיו שבוע אחד כדי לתת כבוד למת ולזכור אותו. והחי יתן אל לבו כי זה סוף כל האדם ויפשפש במעשיו. שאם היה הולך לעסקיו ולמלאכתו היה שוכח את מתו ויום המר, ולכן התירה התורה טומאה לכהנים, כדי שיתעסקו בקרוביהם שמתו ויתאבלו עליהם (אוצר דינים ומנהגים ערך אבלות, עמוד 4. מתוך ילקוט יצחק מצוה רסד. הטעם לשבעת ימי אבלות על פי הקבלה מופיע בספר מעבר יַבֹּק מאמר שפת אמת פרק יט).</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A5"/>
    <w:rsid w:val="00023BA5"/>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C18A65-A379-4241-8153-7E309141B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3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23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23BA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23BA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23B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3B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3B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3B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3B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23BA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23BA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23BA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23BA5"/>
    <w:rPr>
      <w:rFonts w:eastAsiaTheme="majorEastAsia" w:cstheme="majorBidi"/>
      <w:i/>
      <w:iCs/>
      <w:color w:val="0F4761" w:themeColor="accent1" w:themeShade="BF"/>
    </w:rPr>
  </w:style>
  <w:style w:type="character" w:customStyle="1" w:styleId="50">
    <w:name w:val="כותרת 5 תו"/>
    <w:basedOn w:val="a0"/>
    <w:link w:val="5"/>
    <w:uiPriority w:val="9"/>
    <w:semiHidden/>
    <w:rsid w:val="00023BA5"/>
    <w:rPr>
      <w:rFonts w:eastAsiaTheme="majorEastAsia" w:cstheme="majorBidi"/>
      <w:color w:val="0F4761" w:themeColor="accent1" w:themeShade="BF"/>
    </w:rPr>
  </w:style>
  <w:style w:type="character" w:customStyle="1" w:styleId="60">
    <w:name w:val="כותרת 6 תו"/>
    <w:basedOn w:val="a0"/>
    <w:link w:val="6"/>
    <w:uiPriority w:val="9"/>
    <w:semiHidden/>
    <w:rsid w:val="00023BA5"/>
    <w:rPr>
      <w:rFonts w:eastAsiaTheme="majorEastAsia" w:cstheme="majorBidi"/>
      <w:i/>
      <w:iCs/>
      <w:color w:val="595959" w:themeColor="text1" w:themeTint="A6"/>
    </w:rPr>
  </w:style>
  <w:style w:type="character" w:customStyle="1" w:styleId="70">
    <w:name w:val="כותרת 7 תו"/>
    <w:basedOn w:val="a0"/>
    <w:link w:val="7"/>
    <w:uiPriority w:val="9"/>
    <w:semiHidden/>
    <w:rsid w:val="00023BA5"/>
    <w:rPr>
      <w:rFonts w:eastAsiaTheme="majorEastAsia" w:cstheme="majorBidi"/>
      <w:color w:val="595959" w:themeColor="text1" w:themeTint="A6"/>
    </w:rPr>
  </w:style>
  <w:style w:type="character" w:customStyle="1" w:styleId="80">
    <w:name w:val="כותרת 8 תו"/>
    <w:basedOn w:val="a0"/>
    <w:link w:val="8"/>
    <w:uiPriority w:val="9"/>
    <w:semiHidden/>
    <w:rsid w:val="00023BA5"/>
    <w:rPr>
      <w:rFonts w:eastAsiaTheme="majorEastAsia" w:cstheme="majorBidi"/>
      <w:i/>
      <w:iCs/>
      <w:color w:val="272727" w:themeColor="text1" w:themeTint="D8"/>
    </w:rPr>
  </w:style>
  <w:style w:type="character" w:customStyle="1" w:styleId="90">
    <w:name w:val="כותרת 9 תו"/>
    <w:basedOn w:val="a0"/>
    <w:link w:val="9"/>
    <w:uiPriority w:val="9"/>
    <w:semiHidden/>
    <w:rsid w:val="00023BA5"/>
    <w:rPr>
      <w:rFonts w:eastAsiaTheme="majorEastAsia" w:cstheme="majorBidi"/>
      <w:color w:val="272727" w:themeColor="text1" w:themeTint="D8"/>
    </w:rPr>
  </w:style>
  <w:style w:type="paragraph" w:styleId="a3">
    <w:name w:val="Title"/>
    <w:basedOn w:val="a"/>
    <w:next w:val="a"/>
    <w:link w:val="a4"/>
    <w:uiPriority w:val="10"/>
    <w:qFormat/>
    <w:rsid w:val="00023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23B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3BA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23BA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23BA5"/>
    <w:pPr>
      <w:spacing w:before="160"/>
      <w:jc w:val="center"/>
    </w:pPr>
    <w:rPr>
      <w:i/>
      <w:iCs/>
      <w:color w:val="404040" w:themeColor="text1" w:themeTint="BF"/>
    </w:rPr>
  </w:style>
  <w:style w:type="character" w:customStyle="1" w:styleId="a8">
    <w:name w:val="ציטוט תו"/>
    <w:basedOn w:val="a0"/>
    <w:link w:val="a7"/>
    <w:uiPriority w:val="29"/>
    <w:rsid w:val="00023BA5"/>
    <w:rPr>
      <w:i/>
      <w:iCs/>
      <w:color w:val="404040" w:themeColor="text1" w:themeTint="BF"/>
    </w:rPr>
  </w:style>
  <w:style w:type="paragraph" w:styleId="a9">
    <w:name w:val="List Paragraph"/>
    <w:basedOn w:val="a"/>
    <w:uiPriority w:val="34"/>
    <w:qFormat/>
    <w:rsid w:val="00023BA5"/>
    <w:pPr>
      <w:ind w:left="720"/>
      <w:contextualSpacing/>
    </w:pPr>
  </w:style>
  <w:style w:type="character" w:styleId="aa">
    <w:name w:val="Intense Emphasis"/>
    <w:basedOn w:val="a0"/>
    <w:uiPriority w:val="21"/>
    <w:qFormat/>
    <w:rsid w:val="00023BA5"/>
    <w:rPr>
      <w:i/>
      <w:iCs/>
      <w:color w:val="0F4761" w:themeColor="accent1" w:themeShade="BF"/>
    </w:rPr>
  </w:style>
  <w:style w:type="paragraph" w:styleId="ab">
    <w:name w:val="Intense Quote"/>
    <w:basedOn w:val="a"/>
    <w:next w:val="a"/>
    <w:link w:val="ac"/>
    <w:uiPriority w:val="30"/>
    <w:qFormat/>
    <w:rsid w:val="00023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23BA5"/>
    <w:rPr>
      <w:i/>
      <w:iCs/>
      <w:color w:val="0F4761" w:themeColor="accent1" w:themeShade="BF"/>
    </w:rPr>
  </w:style>
  <w:style w:type="character" w:styleId="ad">
    <w:name w:val="Intense Reference"/>
    <w:basedOn w:val="a0"/>
    <w:uiPriority w:val="32"/>
    <w:qFormat/>
    <w:rsid w:val="00023B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961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