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10D8" w:rsidRPr="00863CCE" w:rsidRDefault="009F10D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36"/>
      <w:r w:rsidRPr="00863CCE">
        <w:rPr>
          <w:rFonts w:ascii="Keren" w:eastAsia="Times New Roman" w:hAnsi="Keren" w:cs="David"/>
          <w:b/>
          <w:bCs/>
          <w:sz w:val="26"/>
          <w:szCs w:val="24"/>
          <w:rtl/>
          <w:lang w:eastAsia="he-IL"/>
          <w14:ligatures w14:val="none"/>
        </w:rPr>
        <w:t>שינוי והוספת שם</w:t>
      </w:r>
      <w:bookmarkEnd w:id="0"/>
      <w:r w:rsidRPr="00863CCE">
        <w:rPr>
          <w:rFonts w:ascii="Keren" w:eastAsia="Times New Roman" w:hAnsi="Keren" w:cs="David"/>
          <w:b/>
          <w:bCs/>
          <w:sz w:val="26"/>
          <w:szCs w:val="24"/>
          <w:rtl/>
          <w:lang w:eastAsia="he-IL"/>
          <w14:ligatures w14:val="none"/>
        </w:rPr>
        <w:t xml:space="preserve"> לחולה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"שינוי והוספת שם לחולה:ערך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F10D8" w:rsidRPr="00863CCE" w:rsidRDefault="009F10D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חילוף שם שהיה לאדם בשם אחר. מצאנו שינוי השם אצל האבות, להורות על משמעויות ושינויים בחייהם. </w:t>
      </w:r>
    </w:p>
    <w:p w:rsidR="009F10D8" w:rsidRPr="00863CCE" w:rsidRDefault="009F10D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בזמן התלמוד השתמשו בשינוי השם לחולה כדי לקרוע את גזר דינו אם נגזר עליו למיתה (ראש השנה טז, ב), כלומר שהוא אחר ולא זה שנגזר עליו למיתה. נהגו לתת צדקה בעד החולה ולברכו ב"מי שברך"</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 שברך</w:instrText>
      </w:r>
      <w:r w:rsidRPr="00863CCE">
        <w:rPr>
          <w:rFonts w:ascii="Keren" w:eastAsia="Times New Roman" w:hAnsi="Keren" w:cs="David"/>
          <w:szCs w:val="24"/>
          <w:rtl/>
          <w:lang w:eastAsia="he-IL"/>
          <w14:ligatures w14:val="none"/>
        </w:rPr>
        <w:instrText xml:space="preserve"> לחולה:</w:instrText>
      </w:r>
      <w:r w:rsidRPr="00863CCE">
        <w:rPr>
          <w:rFonts w:ascii="Keren" w:eastAsia="Times New Roman" w:hAnsi="Keren" w:cs="David"/>
          <w:sz w:val="28"/>
          <w:szCs w:val="24"/>
          <w:rtl/>
          <w:lang w:eastAsia="he-IL"/>
          <w14:ligatures w14:val="none"/>
        </w:rPr>
        <w:instrText>הוספת שם"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ומוסיפים "ואף אם נגזר עליו בבית דינך הצדק מיתה שימות מחולי זה, הנה רבותינו הקדושים אמרו שלושה דברים קורעים גזר דינו של אדם, ואחד מהם שינוי השם, שישנו שמו של החולה. וקיימנו דבריהם ונשתנה שמו כי אחר הוא. ואם על (פלוני בו פלוני – השם הקודם) נגזר הדין, על (פלוני בן פלוני – השם החדש) לא נגזר. כי אחר הוא ואינו הוא הנקרא בשם הראשון. וכשם שנשתנה שמו כן ישתנה הדין מעליו, מדין לרחמים וממיתה לחיים וממחלה לרפואה שלמה ל (פלוני בן פלוני – השם החדש), ותאריך ימיו ושנותיו בנעימים, ויבלה בטוב ימיו ברוב עוז ושלום מעתה ועד עולם אמן סלה".</w:t>
      </w:r>
    </w:p>
    <w:p w:rsidR="009F10D8" w:rsidRPr="00863CCE" w:rsidRDefault="009F10D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הנוסח המלא מופיע בספר בעמוד @ .</w:t>
      </w:r>
    </w:p>
    <w:p w:rsidR="00D5072B" w:rsidRDefault="009F10D8">
      <w:r w:rsidRPr="00863CCE">
        <w:rPr>
          <w:rFonts w:ascii="Keren" w:eastAsia="Times New Roman" w:hAnsi="Keren" w:cs="David"/>
          <w:szCs w:val="20"/>
          <w:rtl/>
          <w:lang w:eastAsia="he-IL"/>
          <w14:ligatures w14:val="none"/>
        </w:rPr>
        <w:t>הרמב"ם (הלכות תשובה ב, ד) מזכיר את שינוי השם כאחד מתיקוני התשובה – "ומשנה שמו כלומר אני אחר ואיני אותו האיש שעשה אותם המעשים".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D8"/>
    <w:rsid w:val="000D0A23"/>
    <w:rsid w:val="002C1211"/>
    <w:rsid w:val="005C4B14"/>
    <w:rsid w:val="009F10D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615ECD-8036-4B5D-9504-357621794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1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F1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F10D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F10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F10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F10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10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10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10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F10D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F10D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F10D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F10D8"/>
    <w:rPr>
      <w:rFonts w:eastAsiaTheme="majorEastAsia" w:cstheme="majorBidi"/>
      <w:i/>
      <w:iCs/>
      <w:color w:val="0F4761" w:themeColor="accent1" w:themeShade="BF"/>
    </w:rPr>
  </w:style>
  <w:style w:type="character" w:customStyle="1" w:styleId="50">
    <w:name w:val="כותרת 5 תו"/>
    <w:basedOn w:val="a0"/>
    <w:link w:val="5"/>
    <w:uiPriority w:val="9"/>
    <w:semiHidden/>
    <w:rsid w:val="009F10D8"/>
    <w:rPr>
      <w:rFonts w:eastAsiaTheme="majorEastAsia" w:cstheme="majorBidi"/>
      <w:color w:val="0F4761" w:themeColor="accent1" w:themeShade="BF"/>
    </w:rPr>
  </w:style>
  <w:style w:type="character" w:customStyle="1" w:styleId="60">
    <w:name w:val="כותרת 6 תו"/>
    <w:basedOn w:val="a0"/>
    <w:link w:val="6"/>
    <w:uiPriority w:val="9"/>
    <w:semiHidden/>
    <w:rsid w:val="009F10D8"/>
    <w:rPr>
      <w:rFonts w:eastAsiaTheme="majorEastAsia" w:cstheme="majorBidi"/>
      <w:i/>
      <w:iCs/>
      <w:color w:val="595959" w:themeColor="text1" w:themeTint="A6"/>
    </w:rPr>
  </w:style>
  <w:style w:type="character" w:customStyle="1" w:styleId="70">
    <w:name w:val="כותרת 7 תו"/>
    <w:basedOn w:val="a0"/>
    <w:link w:val="7"/>
    <w:uiPriority w:val="9"/>
    <w:semiHidden/>
    <w:rsid w:val="009F10D8"/>
    <w:rPr>
      <w:rFonts w:eastAsiaTheme="majorEastAsia" w:cstheme="majorBidi"/>
      <w:color w:val="595959" w:themeColor="text1" w:themeTint="A6"/>
    </w:rPr>
  </w:style>
  <w:style w:type="character" w:customStyle="1" w:styleId="80">
    <w:name w:val="כותרת 8 תו"/>
    <w:basedOn w:val="a0"/>
    <w:link w:val="8"/>
    <w:uiPriority w:val="9"/>
    <w:semiHidden/>
    <w:rsid w:val="009F10D8"/>
    <w:rPr>
      <w:rFonts w:eastAsiaTheme="majorEastAsia" w:cstheme="majorBidi"/>
      <w:i/>
      <w:iCs/>
      <w:color w:val="272727" w:themeColor="text1" w:themeTint="D8"/>
    </w:rPr>
  </w:style>
  <w:style w:type="character" w:customStyle="1" w:styleId="90">
    <w:name w:val="כותרת 9 תו"/>
    <w:basedOn w:val="a0"/>
    <w:link w:val="9"/>
    <w:uiPriority w:val="9"/>
    <w:semiHidden/>
    <w:rsid w:val="009F10D8"/>
    <w:rPr>
      <w:rFonts w:eastAsiaTheme="majorEastAsia" w:cstheme="majorBidi"/>
      <w:color w:val="272727" w:themeColor="text1" w:themeTint="D8"/>
    </w:rPr>
  </w:style>
  <w:style w:type="paragraph" w:styleId="a3">
    <w:name w:val="Title"/>
    <w:basedOn w:val="a"/>
    <w:next w:val="a"/>
    <w:link w:val="a4"/>
    <w:uiPriority w:val="10"/>
    <w:qFormat/>
    <w:rsid w:val="009F1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F10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10D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F10D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F10D8"/>
    <w:pPr>
      <w:spacing w:before="160"/>
      <w:jc w:val="center"/>
    </w:pPr>
    <w:rPr>
      <w:i/>
      <w:iCs/>
      <w:color w:val="404040" w:themeColor="text1" w:themeTint="BF"/>
    </w:rPr>
  </w:style>
  <w:style w:type="character" w:customStyle="1" w:styleId="a8">
    <w:name w:val="ציטוט תו"/>
    <w:basedOn w:val="a0"/>
    <w:link w:val="a7"/>
    <w:uiPriority w:val="29"/>
    <w:rsid w:val="009F10D8"/>
    <w:rPr>
      <w:i/>
      <w:iCs/>
      <w:color w:val="404040" w:themeColor="text1" w:themeTint="BF"/>
    </w:rPr>
  </w:style>
  <w:style w:type="paragraph" w:styleId="a9">
    <w:name w:val="List Paragraph"/>
    <w:basedOn w:val="a"/>
    <w:uiPriority w:val="34"/>
    <w:qFormat/>
    <w:rsid w:val="009F10D8"/>
    <w:pPr>
      <w:ind w:left="720"/>
      <w:contextualSpacing/>
    </w:pPr>
  </w:style>
  <w:style w:type="character" w:styleId="aa">
    <w:name w:val="Intense Emphasis"/>
    <w:basedOn w:val="a0"/>
    <w:uiPriority w:val="21"/>
    <w:qFormat/>
    <w:rsid w:val="009F10D8"/>
    <w:rPr>
      <w:i/>
      <w:iCs/>
      <w:color w:val="0F4761" w:themeColor="accent1" w:themeShade="BF"/>
    </w:rPr>
  </w:style>
  <w:style w:type="paragraph" w:styleId="ab">
    <w:name w:val="Intense Quote"/>
    <w:basedOn w:val="a"/>
    <w:next w:val="a"/>
    <w:link w:val="ac"/>
    <w:uiPriority w:val="30"/>
    <w:qFormat/>
    <w:rsid w:val="009F1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F10D8"/>
    <w:rPr>
      <w:i/>
      <w:iCs/>
      <w:color w:val="0F4761" w:themeColor="accent1" w:themeShade="BF"/>
    </w:rPr>
  </w:style>
  <w:style w:type="character" w:styleId="ad">
    <w:name w:val="Intense Reference"/>
    <w:basedOn w:val="a0"/>
    <w:uiPriority w:val="32"/>
    <w:qFormat/>
    <w:rsid w:val="009F1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881</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