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48C1" w:rsidRPr="00863CCE" w:rsidRDefault="00A348C1" w:rsidP="00863CCE">
      <w:pPr>
        <w:spacing w:after="0" w:line="360" w:lineRule="auto"/>
        <w:jc w:val="both"/>
        <w:outlineLvl w:val="6"/>
        <w:rPr>
          <w:rFonts w:ascii="Keren" w:eastAsia="Times New Roman" w:hAnsi="Keren" w:cs="David"/>
          <w:b/>
          <w:bCs/>
          <w:szCs w:val="20"/>
          <w:rtl/>
          <w:lang w:eastAsia="he-IL"/>
          <w14:ligatures w14:val="none"/>
        </w:rPr>
      </w:pPr>
      <w:bookmarkStart w:id="0" w:name="_Toc88530448"/>
      <w:r w:rsidRPr="00863CCE">
        <w:rPr>
          <w:rFonts w:ascii="Keren" w:eastAsia="Times New Roman" w:hAnsi="Keren" w:cs="David"/>
          <w:b/>
          <w:bCs/>
          <w:sz w:val="26"/>
          <w:szCs w:val="24"/>
          <w:rtl/>
          <w:lang w:eastAsia="he-IL"/>
          <w14:ligatures w14:val="none"/>
        </w:rPr>
        <w:t>שמירת קבר מחיים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"שמירת קבר מחיים:ערך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A348C1" w:rsidRPr="00863CCE" w:rsidRDefault="00A348C1"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טוב לאדם שייקבר בקבר הקנוי לו. אברהם הקפיד לרכוש את מערת המכפלה קודם קבורת שרה - "</w:t>
      </w:r>
      <w:r w:rsidRPr="00863CCE">
        <w:rPr>
          <w:rFonts w:ascii="Keren" w:eastAsia="Times New Roman" w:hAnsi="Keren" w:cs="David"/>
          <w:sz w:val="20"/>
          <w:szCs w:val="20"/>
          <w:rtl/>
          <w:lang w:eastAsia="he-IL"/>
          <w14:ligatures w14:val="none"/>
        </w:rPr>
        <w:t>וַיָּקָם שְׂדֵה עֶפְרוֹן אֲשֶׁר בַּמַּכְפֵּלָה אֲשֶׁר לִפְנֵי מַמְרֵא הַשָּׂדֶה וְהַמְּעָרָה אֲשֶׁר בּוֹ וְכָל הָעֵץ אֲשֶׁר בַּשָּׂדֶה אֲשֶׁר בְּכָל גְּבֻלוֹ סָבִיב: לְאַבְרָהָם לְמִקְנָה לְעֵינֵי בְנֵי חֵת בְּכֹל בָּאֵי שַׁעַר עִירוֹ: וְאַחֲרֵי כֵן קָבַר אַבְרָהָם אֶת שָׂרָה אִשְׁתּוֹ אֶל מְעָרַת שְׂדֵה הַמַּכְפֵּלָה עַל פְּנֵי מַמְרֵא הִוא חֶבְרוֹן בְּאֶרֶץ כְּנָעַן</w:t>
      </w:r>
      <w:r w:rsidRPr="00863CCE">
        <w:rPr>
          <w:rFonts w:ascii="Keren" w:eastAsia="Times New Roman" w:hAnsi="Keren" w:cs="David"/>
          <w:szCs w:val="20"/>
          <w:rtl/>
          <w:lang w:eastAsia="he-IL"/>
          <w14:ligatures w14:val="none"/>
        </w:rPr>
        <w:t>" (בראשית כג, יז). גם יעקב הדגיש את הקניין של מערת המכפלה – "</w:t>
      </w:r>
      <w:r w:rsidRPr="00863CCE">
        <w:rPr>
          <w:rFonts w:ascii="Keren" w:eastAsia="Times New Roman" w:hAnsi="Keren" w:cs="David"/>
          <w:sz w:val="20"/>
          <w:szCs w:val="20"/>
          <w:rtl/>
          <w:lang w:eastAsia="he-IL"/>
          <w14:ligatures w14:val="none"/>
        </w:rPr>
        <w:t xml:space="preserve"> קִבְרוּ אֹתִי אֶל אֲבֹתָי... בַּמְּעָרָה אֲשֶׁר בִּשְׂדֵה הַמַּכְפֵּלָה אֲשֶׁר עַל פְּנֵי מַמְרֵא בְּאֶרֶץ כְּנָעַן אֲשֶׁר קָנָה אַבְרָהָם... </w:t>
      </w:r>
      <w:r w:rsidRPr="00863CCE">
        <w:rPr>
          <w:rFonts w:ascii="Keren" w:eastAsia="Times New Roman" w:hAnsi="Keren" w:cs="David"/>
          <w:szCs w:val="20"/>
          <w:rtl/>
          <w:lang w:eastAsia="he-IL"/>
          <w14:ligatures w14:val="none"/>
        </w:rPr>
        <w:t xml:space="preserve">" (שם מט, ל). גם בקבורת יוסף מודגש בספר יהושע (כד, לב) – </w:t>
      </w:r>
      <w:r w:rsidRPr="00863CCE">
        <w:rPr>
          <w:rFonts w:ascii="Keren" w:eastAsia="Times New Roman" w:hAnsi="Keren" w:cs="David"/>
          <w:sz w:val="20"/>
          <w:szCs w:val="20"/>
          <w:rtl/>
          <w:lang w:eastAsia="he-IL"/>
          <w14:ligatures w14:val="none"/>
        </w:rPr>
        <w:t>"וְאֶת עַצְמוֹת יוֹסֵף אֲשֶׁר הֶעֱלוּ בְנֵי יִשְׂרָאֵל מִמִּצְרַיִם קָבְרוּ בִשְׁכֶם בְּחֶלְקַת הַשָּׂדֶה אֲשֶׁר קָנָה יַעֲקֹב</w:t>
      </w:r>
      <w:r w:rsidRPr="00863CCE">
        <w:rPr>
          <w:rFonts w:ascii="Keren" w:eastAsia="Times New Roman" w:hAnsi="Keren" w:cs="David"/>
          <w:szCs w:val="20"/>
          <w:rtl/>
          <w:lang w:eastAsia="he-IL"/>
          <w14:ligatures w14:val="none"/>
        </w:rPr>
        <w:t>".</w:t>
      </w:r>
    </w:p>
    <w:p w:rsidR="00D5072B" w:rsidRDefault="00A348C1">
      <w:r w:rsidRPr="00863CCE">
        <w:rPr>
          <w:rFonts w:ascii="Keren" w:eastAsia="Times New Roman" w:hAnsi="Keren" w:cs="David"/>
          <w:szCs w:val="20"/>
          <w:rtl/>
          <w:lang w:eastAsia="he-IL"/>
          <w14:ligatures w14:val="none"/>
        </w:rPr>
        <w:t xml:space="preserve">לכן ישנם הרבה שרוכשים קבר עוד בחייהם. אם לא קנו מחיים, היורשים קונים את הקבר, ועדיף לפני הקבורה. </w:t>
      </w:r>
      <w:r w:rsidRPr="00863CCE">
        <w:rPr>
          <w:rFonts w:ascii="Keren" w:eastAsia="Times New Roman" w:hAnsi="Keren" w:cs="David"/>
          <w:sz w:val="26"/>
          <w:szCs w:val="20"/>
          <w:rtl/>
          <w:lang w:eastAsia="he-IL"/>
          <w14:ligatures w14:val="none"/>
        </w:rPr>
        <w:t>כיום על פי המצב המשפטי במדינת ישראל, רכישת הזכות להיקבר במקום מסוים אינה מקנה זכות קנינית של 'בעלות', כי אם 'זיקת הנאה' באותם מקרקעין. מכל מקום, לאחר רכישת אותה הזכות, הרי שהזכות להיקבר באותו מקום שמורה לאדם שעבורו נרכשה, כל עוד לא נקבר במקום אחר. (על פי מכתב מהלשכה המשפטית של משרד  הדתות לעו"ד יהודה אלרם).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8C1"/>
    <w:rsid w:val="000D0A23"/>
    <w:rsid w:val="002C1211"/>
    <w:rsid w:val="005C4B14"/>
    <w:rsid w:val="00A348C1"/>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54CBF6-8183-4887-8812-1A67D6425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4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4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48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48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48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48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48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48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48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48C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48C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48C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48C1"/>
    <w:rPr>
      <w:rFonts w:eastAsiaTheme="majorEastAsia" w:cstheme="majorBidi"/>
      <w:i/>
      <w:iCs/>
      <w:color w:val="0F4761" w:themeColor="accent1" w:themeShade="BF"/>
    </w:rPr>
  </w:style>
  <w:style w:type="character" w:customStyle="1" w:styleId="50">
    <w:name w:val="כותרת 5 תו"/>
    <w:basedOn w:val="a0"/>
    <w:link w:val="5"/>
    <w:uiPriority w:val="9"/>
    <w:semiHidden/>
    <w:rsid w:val="00A348C1"/>
    <w:rPr>
      <w:rFonts w:eastAsiaTheme="majorEastAsia" w:cstheme="majorBidi"/>
      <w:color w:val="0F4761" w:themeColor="accent1" w:themeShade="BF"/>
    </w:rPr>
  </w:style>
  <w:style w:type="character" w:customStyle="1" w:styleId="60">
    <w:name w:val="כותרת 6 תו"/>
    <w:basedOn w:val="a0"/>
    <w:link w:val="6"/>
    <w:uiPriority w:val="9"/>
    <w:semiHidden/>
    <w:rsid w:val="00A348C1"/>
    <w:rPr>
      <w:rFonts w:eastAsiaTheme="majorEastAsia" w:cstheme="majorBidi"/>
      <w:i/>
      <w:iCs/>
      <w:color w:val="595959" w:themeColor="text1" w:themeTint="A6"/>
    </w:rPr>
  </w:style>
  <w:style w:type="character" w:customStyle="1" w:styleId="70">
    <w:name w:val="כותרת 7 תו"/>
    <w:basedOn w:val="a0"/>
    <w:link w:val="7"/>
    <w:uiPriority w:val="9"/>
    <w:semiHidden/>
    <w:rsid w:val="00A348C1"/>
    <w:rPr>
      <w:rFonts w:eastAsiaTheme="majorEastAsia" w:cstheme="majorBidi"/>
      <w:color w:val="595959" w:themeColor="text1" w:themeTint="A6"/>
    </w:rPr>
  </w:style>
  <w:style w:type="character" w:customStyle="1" w:styleId="80">
    <w:name w:val="כותרת 8 תו"/>
    <w:basedOn w:val="a0"/>
    <w:link w:val="8"/>
    <w:uiPriority w:val="9"/>
    <w:semiHidden/>
    <w:rsid w:val="00A348C1"/>
    <w:rPr>
      <w:rFonts w:eastAsiaTheme="majorEastAsia" w:cstheme="majorBidi"/>
      <w:i/>
      <w:iCs/>
      <w:color w:val="272727" w:themeColor="text1" w:themeTint="D8"/>
    </w:rPr>
  </w:style>
  <w:style w:type="character" w:customStyle="1" w:styleId="90">
    <w:name w:val="כותרת 9 תו"/>
    <w:basedOn w:val="a0"/>
    <w:link w:val="9"/>
    <w:uiPriority w:val="9"/>
    <w:semiHidden/>
    <w:rsid w:val="00A348C1"/>
    <w:rPr>
      <w:rFonts w:eastAsiaTheme="majorEastAsia" w:cstheme="majorBidi"/>
      <w:color w:val="272727" w:themeColor="text1" w:themeTint="D8"/>
    </w:rPr>
  </w:style>
  <w:style w:type="paragraph" w:styleId="a3">
    <w:name w:val="Title"/>
    <w:basedOn w:val="a"/>
    <w:next w:val="a"/>
    <w:link w:val="a4"/>
    <w:uiPriority w:val="10"/>
    <w:qFormat/>
    <w:rsid w:val="00A34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48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48C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48C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48C1"/>
    <w:pPr>
      <w:spacing w:before="160"/>
      <w:jc w:val="center"/>
    </w:pPr>
    <w:rPr>
      <w:i/>
      <w:iCs/>
      <w:color w:val="404040" w:themeColor="text1" w:themeTint="BF"/>
    </w:rPr>
  </w:style>
  <w:style w:type="character" w:customStyle="1" w:styleId="a8">
    <w:name w:val="ציטוט תו"/>
    <w:basedOn w:val="a0"/>
    <w:link w:val="a7"/>
    <w:uiPriority w:val="29"/>
    <w:rsid w:val="00A348C1"/>
    <w:rPr>
      <w:i/>
      <w:iCs/>
      <w:color w:val="404040" w:themeColor="text1" w:themeTint="BF"/>
    </w:rPr>
  </w:style>
  <w:style w:type="paragraph" w:styleId="a9">
    <w:name w:val="List Paragraph"/>
    <w:basedOn w:val="a"/>
    <w:uiPriority w:val="34"/>
    <w:qFormat/>
    <w:rsid w:val="00A348C1"/>
    <w:pPr>
      <w:ind w:left="720"/>
      <w:contextualSpacing/>
    </w:pPr>
  </w:style>
  <w:style w:type="character" w:styleId="aa">
    <w:name w:val="Intense Emphasis"/>
    <w:basedOn w:val="a0"/>
    <w:uiPriority w:val="21"/>
    <w:qFormat/>
    <w:rsid w:val="00A348C1"/>
    <w:rPr>
      <w:i/>
      <w:iCs/>
      <w:color w:val="0F4761" w:themeColor="accent1" w:themeShade="BF"/>
    </w:rPr>
  </w:style>
  <w:style w:type="paragraph" w:styleId="ab">
    <w:name w:val="Intense Quote"/>
    <w:basedOn w:val="a"/>
    <w:next w:val="a"/>
    <w:link w:val="ac"/>
    <w:uiPriority w:val="30"/>
    <w:qFormat/>
    <w:rsid w:val="00A34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48C1"/>
    <w:rPr>
      <w:i/>
      <w:iCs/>
      <w:color w:val="0F4761" w:themeColor="accent1" w:themeShade="BF"/>
    </w:rPr>
  </w:style>
  <w:style w:type="character" w:styleId="ad">
    <w:name w:val="Intense Reference"/>
    <w:basedOn w:val="a0"/>
    <w:uiPriority w:val="32"/>
    <w:qFormat/>
    <w:rsid w:val="00A34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1091</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