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7DE4" w:rsidRPr="00863CCE" w:rsidRDefault="005E7DE4" w:rsidP="00863CCE">
      <w:pPr>
        <w:spacing w:after="0" w:line="360" w:lineRule="auto"/>
        <w:jc w:val="both"/>
        <w:outlineLvl w:val="6"/>
        <w:rPr>
          <w:rFonts w:ascii="Keren" w:eastAsia="Times New Roman" w:hAnsi="Keren" w:cs="David"/>
          <w:b/>
          <w:bCs/>
          <w:szCs w:val="20"/>
          <w:rtl/>
          <w:lang w:eastAsia="he-IL"/>
          <w14:ligatures w14:val="none"/>
        </w:rPr>
      </w:pPr>
      <w:bookmarkStart w:id="0" w:name="_Toc88530449"/>
      <w:r w:rsidRPr="00863CCE">
        <w:rPr>
          <w:rFonts w:ascii="Keren" w:eastAsia="Times New Roman" w:hAnsi="Keren" w:cs="David"/>
          <w:b/>
          <w:bCs/>
          <w:sz w:val="26"/>
          <w:szCs w:val="24"/>
          <w:rtl/>
          <w:lang w:eastAsia="he-IL"/>
          <w14:ligatures w14:val="none"/>
        </w:rPr>
        <w:t>שפיכת המים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"שפיכת המים:ערך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5E7DE4" w:rsidRPr="00863CCE" w:rsidRDefault="005E7DE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מנהג לשפוך את המים שבבית הנפטר ובשכונתו הקרובה. הטעם כדי להודיע שיש מת בשכונה שצריך ללוותו ולגמול עמו חסד, ולא יצטרכו להודיע בפה ויהיו מוציאים דיבה (שלחן ערוך יורה דעה סימן תב, יב). אין מקום לבשר בשורות רעות אם אין צורך ענייני בכך, וניתן לומר שהמגמה ביהדות היא להימנע מלהודיע בפה בשורות רעות (כך למשל בשמואל ב', יח מפסוק יט ובמיוחד פסוק כז). </w:t>
      </w:r>
    </w:p>
    <w:p w:rsidR="005E7DE4" w:rsidRPr="00863CCE" w:rsidRDefault="005E7DE4" w:rsidP="00863CCE">
      <w:pPr>
        <w:spacing w:after="0" w:line="360" w:lineRule="auto"/>
        <w:ind w:left="43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יש אומרים שטעם המנהג מפני שמלאך המוות מפיל למים טיפת סם המות, כיון שניתנה לו רשות אז מתגבר בכל עוז להפוך כוחות החסד לרוגז ודין. על כן אנו שופכים המים על גבי קרקע מקום מוצאם שאינם עלולים לקבל טומאה שם, ובזה גם מעוררים ומתפשטים מידת החסד בעולם כמנהג אנשי החסד השופכים לפניהם מים בימי העצרת והתענית (ראה בהקשר זה שמואל א', ז, ו). עוד תהיה שפיכת המים הוראה לבני האדם, כי יהבילו ענייני העולם הזה. כי אפילו המים המטהרים והם הכרחיים לכל צרכי בני אדם, אינם נחשבים (אפילו) לדבר קל לעומת העולם שאחר המוות. כי סוף החיים הם כמים הניגרים ארצה והכל כלה ואבד. רק נפשות חסידיו שלעולם נשמרו. עוד טעם לשפיכת המים על העפר, יבשר ויודיע שעתיד הקב"ה לגבול עפרו בטל העליון ויבוא כגשם לנו בשפע וכמלקוש יורה ארץ (רומז לתחיית המתים וטל שעתיד להחיותם. מעבר יַבֹּק מאמר שפת אמת פרק כג). </w:t>
      </w:r>
    </w:p>
    <w:p w:rsidR="005E7DE4" w:rsidRPr="00863CCE" w:rsidRDefault="005E7DE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סיבה נוספת היא כדי להזהיר את הכהנים מטומאת המת. כך גם נפסק להלכה (שלחן ערוך שם סימן שלט, ה). </w:t>
      </w:r>
    </w:p>
    <w:p w:rsidR="00D5072B" w:rsidRDefault="005E7DE4">
      <w:r w:rsidRPr="00863CCE">
        <w:rPr>
          <w:rFonts w:ascii="Keren" w:eastAsia="Times New Roman" w:hAnsi="Keren" w:cs="David"/>
          <w:szCs w:val="20"/>
          <w:rtl/>
          <w:lang w:eastAsia="he-IL"/>
          <w14:ligatures w14:val="none"/>
        </w:rPr>
        <w:t>דין זה קיים רק בבית פרטי ולא בבית חולים. בשבת ויום טוב אין שופכים. אין צורך לשפוך בקבוקי מים, אפילו אינם חתומים. יש דעות שונות לגבי מים חמים. לא שופכים מים שבחביות גדולות, אבל פותחים את הברז לזמן מועט וסוגרים (צרור החיים סעיף רצו. ילקוט יוסף סימן ו, ג).</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 w:val="18"/>
          <w:szCs w:val="20"/>
          <w:rtl/>
          <w:lang w:eastAsia="he-IL"/>
          <w14:ligatures w14:val="none"/>
        </w:rPr>
        <w:t>יש מי שכתב שהיום אין נוהג דין שפיכת המים כלל אצל שכני הנפטר, וגם בבית הנפטר עצמו יש להתיר, אלא שיש לפתוח מעט את הברזים לשפוך מעט מהמים (ילקוט יוסף שם. חיים וחסד פרק א, כ). יש מי שכתב להקל הרבה בדין זה של שפיכת המים (ערוך השלחן יורה דעה סימן שלט, ט).</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DE4"/>
    <w:rsid w:val="000D0A23"/>
    <w:rsid w:val="002C1211"/>
    <w:rsid w:val="005C4B14"/>
    <w:rsid w:val="005E7DE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3969AD-FB1F-4C2B-B959-655AD685F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E7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E7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E7D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E7D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E7D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E7D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7D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7D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7D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E7DE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E7DE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E7DE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E7DE4"/>
    <w:rPr>
      <w:rFonts w:eastAsiaTheme="majorEastAsia" w:cstheme="majorBidi"/>
      <w:i/>
      <w:iCs/>
      <w:color w:val="0F4761" w:themeColor="accent1" w:themeShade="BF"/>
    </w:rPr>
  </w:style>
  <w:style w:type="character" w:customStyle="1" w:styleId="50">
    <w:name w:val="כותרת 5 תו"/>
    <w:basedOn w:val="a0"/>
    <w:link w:val="5"/>
    <w:uiPriority w:val="9"/>
    <w:semiHidden/>
    <w:rsid w:val="005E7DE4"/>
    <w:rPr>
      <w:rFonts w:eastAsiaTheme="majorEastAsia" w:cstheme="majorBidi"/>
      <w:color w:val="0F4761" w:themeColor="accent1" w:themeShade="BF"/>
    </w:rPr>
  </w:style>
  <w:style w:type="character" w:customStyle="1" w:styleId="60">
    <w:name w:val="כותרת 6 תו"/>
    <w:basedOn w:val="a0"/>
    <w:link w:val="6"/>
    <w:uiPriority w:val="9"/>
    <w:semiHidden/>
    <w:rsid w:val="005E7DE4"/>
    <w:rPr>
      <w:rFonts w:eastAsiaTheme="majorEastAsia" w:cstheme="majorBidi"/>
      <w:i/>
      <w:iCs/>
      <w:color w:val="595959" w:themeColor="text1" w:themeTint="A6"/>
    </w:rPr>
  </w:style>
  <w:style w:type="character" w:customStyle="1" w:styleId="70">
    <w:name w:val="כותרת 7 תו"/>
    <w:basedOn w:val="a0"/>
    <w:link w:val="7"/>
    <w:uiPriority w:val="9"/>
    <w:semiHidden/>
    <w:rsid w:val="005E7DE4"/>
    <w:rPr>
      <w:rFonts w:eastAsiaTheme="majorEastAsia" w:cstheme="majorBidi"/>
      <w:color w:val="595959" w:themeColor="text1" w:themeTint="A6"/>
    </w:rPr>
  </w:style>
  <w:style w:type="character" w:customStyle="1" w:styleId="80">
    <w:name w:val="כותרת 8 תו"/>
    <w:basedOn w:val="a0"/>
    <w:link w:val="8"/>
    <w:uiPriority w:val="9"/>
    <w:semiHidden/>
    <w:rsid w:val="005E7DE4"/>
    <w:rPr>
      <w:rFonts w:eastAsiaTheme="majorEastAsia" w:cstheme="majorBidi"/>
      <w:i/>
      <w:iCs/>
      <w:color w:val="272727" w:themeColor="text1" w:themeTint="D8"/>
    </w:rPr>
  </w:style>
  <w:style w:type="character" w:customStyle="1" w:styleId="90">
    <w:name w:val="כותרת 9 תו"/>
    <w:basedOn w:val="a0"/>
    <w:link w:val="9"/>
    <w:uiPriority w:val="9"/>
    <w:semiHidden/>
    <w:rsid w:val="005E7DE4"/>
    <w:rPr>
      <w:rFonts w:eastAsiaTheme="majorEastAsia" w:cstheme="majorBidi"/>
      <w:color w:val="272727" w:themeColor="text1" w:themeTint="D8"/>
    </w:rPr>
  </w:style>
  <w:style w:type="paragraph" w:styleId="a3">
    <w:name w:val="Title"/>
    <w:basedOn w:val="a"/>
    <w:next w:val="a"/>
    <w:link w:val="a4"/>
    <w:uiPriority w:val="10"/>
    <w:qFormat/>
    <w:rsid w:val="005E7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E7D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7DE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E7DE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E7DE4"/>
    <w:pPr>
      <w:spacing w:before="160"/>
      <w:jc w:val="center"/>
    </w:pPr>
    <w:rPr>
      <w:i/>
      <w:iCs/>
      <w:color w:val="404040" w:themeColor="text1" w:themeTint="BF"/>
    </w:rPr>
  </w:style>
  <w:style w:type="character" w:customStyle="1" w:styleId="a8">
    <w:name w:val="ציטוט תו"/>
    <w:basedOn w:val="a0"/>
    <w:link w:val="a7"/>
    <w:uiPriority w:val="29"/>
    <w:rsid w:val="005E7DE4"/>
    <w:rPr>
      <w:i/>
      <w:iCs/>
      <w:color w:val="404040" w:themeColor="text1" w:themeTint="BF"/>
    </w:rPr>
  </w:style>
  <w:style w:type="paragraph" w:styleId="a9">
    <w:name w:val="List Paragraph"/>
    <w:basedOn w:val="a"/>
    <w:uiPriority w:val="34"/>
    <w:qFormat/>
    <w:rsid w:val="005E7DE4"/>
    <w:pPr>
      <w:ind w:left="720"/>
      <w:contextualSpacing/>
    </w:pPr>
  </w:style>
  <w:style w:type="character" w:styleId="aa">
    <w:name w:val="Intense Emphasis"/>
    <w:basedOn w:val="a0"/>
    <w:uiPriority w:val="21"/>
    <w:qFormat/>
    <w:rsid w:val="005E7DE4"/>
    <w:rPr>
      <w:i/>
      <w:iCs/>
      <w:color w:val="0F4761" w:themeColor="accent1" w:themeShade="BF"/>
    </w:rPr>
  </w:style>
  <w:style w:type="paragraph" w:styleId="ab">
    <w:name w:val="Intense Quote"/>
    <w:basedOn w:val="a"/>
    <w:next w:val="a"/>
    <w:link w:val="ac"/>
    <w:uiPriority w:val="30"/>
    <w:qFormat/>
    <w:rsid w:val="005E7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E7DE4"/>
    <w:rPr>
      <w:i/>
      <w:iCs/>
      <w:color w:val="0F4761" w:themeColor="accent1" w:themeShade="BF"/>
    </w:rPr>
  </w:style>
  <w:style w:type="character" w:styleId="ad">
    <w:name w:val="Intense Reference"/>
    <w:basedOn w:val="a0"/>
    <w:uiPriority w:val="32"/>
    <w:qFormat/>
    <w:rsid w:val="005E7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292</Words>
  <Characters>1460</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