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2F2A" w:rsidRPr="00863CCE" w:rsidRDefault="00072F2A" w:rsidP="00863CCE">
      <w:pPr>
        <w:spacing w:after="0" w:line="360" w:lineRule="auto"/>
        <w:jc w:val="both"/>
        <w:outlineLvl w:val="6"/>
        <w:rPr>
          <w:rFonts w:ascii="Keren" w:eastAsia="Times New Roman" w:hAnsi="Keren" w:cs="David"/>
          <w:b/>
          <w:bCs/>
          <w:szCs w:val="20"/>
          <w:rtl/>
          <w:lang w:eastAsia="he-IL"/>
          <w14:ligatures w14:val="none"/>
        </w:rPr>
      </w:pPr>
      <w:bookmarkStart w:id="0" w:name="_Toc88530450"/>
      <w:r w:rsidRPr="00863CCE">
        <w:rPr>
          <w:rFonts w:ascii="Keren" w:eastAsia="Times New Roman" w:hAnsi="Keren" w:cs="David"/>
          <w:b/>
          <w:bCs/>
          <w:sz w:val="26"/>
          <w:szCs w:val="24"/>
          <w:rtl/>
          <w:lang w:eastAsia="he-IL"/>
          <w14:ligatures w14:val="none"/>
        </w:rPr>
        <w:t>שריפת המתים</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"שריפת המתים:ערך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גוי:חוקות הגויים - שריפת המתים</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rsidR="00072F2A" w:rsidRPr="00863CCE" w:rsidRDefault="00072F2A"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איסור חמור לשרוף את המת, והשורפו מבטל מצות עשה של קבורת המת, וגורם תקלה גדולה למת, וגורם לו ביזיון. אי קבורת המת נחשבת בתנ"ך לקללה (למשל בירמיהו ח,ב; יד, טז; טז, ד; טז, ו.), ושרפת המת נחשבת בתנ"ך לפשע - "</w:t>
      </w:r>
      <w:r w:rsidRPr="00863CCE">
        <w:rPr>
          <w:rFonts w:ascii="Keren" w:eastAsia="Times New Roman" w:hAnsi="Keren" w:cs="David"/>
          <w:sz w:val="20"/>
          <w:szCs w:val="20"/>
          <w:rtl/>
          <w:lang w:eastAsia="he-IL"/>
          <w14:ligatures w14:val="none"/>
        </w:rPr>
        <w:t>כֹּה אָמַר ה' עַל שְׁלֹשָׁה פִּשְׁעֵי מוֹאָב וְעַל אַרְבָּעָה לֹא אֲשִׁיבֶנּוּ עַל שָׂרְפוֹ עַצְמוֹת מֶלֶךְ אֱדוֹם לַשִּׂיד</w:t>
      </w:r>
      <w:r w:rsidRPr="00863CCE">
        <w:rPr>
          <w:rFonts w:ascii="Keren" w:eastAsia="Times New Roman" w:hAnsi="Keren" w:cs="David"/>
          <w:szCs w:val="20"/>
          <w:rtl/>
          <w:lang w:eastAsia="he-IL"/>
          <w14:ligatures w14:val="none"/>
        </w:rPr>
        <w:t xml:space="preserve">" (עמוס ב, א). </w:t>
      </w:r>
    </w:p>
    <w:p w:rsidR="00072F2A" w:rsidRPr="00863CCE" w:rsidRDefault="00072F2A" w:rsidP="00863CCE">
      <w:pPr>
        <w:spacing w:after="0" w:line="360" w:lineRule="auto"/>
        <w:jc w:val="both"/>
        <w:rPr>
          <w:rFonts w:ascii="Keren" w:eastAsia="Times New Roman" w:hAnsi="Keren" w:cs="David"/>
          <w:szCs w:val="20"/>
          <w:lang w:eastAsia="he-IL"/>
          <w14:ligatures w14:val="none"/>
        </w:rPr>
      </w:pPr>
      <w:r w:rsidRPr="00863CCE">
        <w:rPr>
          <w:rFonts w:ascii="Keren" w:eastAsia="Times New Roman" w:hAnsi="Keren" w:cs="David"/>
          <w:szCs w:val="20"/>
          <w:rtl/>
          <w:lang w:eastAsia="he-IL"/>
          <w14:ligatures w14:val="none"/>
        </w:rPr>
        <w:t>בגמרא מוזכר שטיטוס ציוה לשרוף את גופו ולפזר את אפרו על פני שבעה ימים, כדי שלא יוכל למצוא אותו אלהי היהודים (גיטין נו, ב).</w:t>
      </w:r>
    </w:p>
    <w:p w:rsidR="00072F2A" w:rsidRPr="00863CCE" w:rsidRDefault="00072F2A"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מי שציוה לשרוף את גופו, אין שומעים לו. ואם שרפו את גופו, אין קוברים את אפרו בקברי ישראל. והטעם, שאדם שבחייו לא רצה במצות הקבורה ובסגולתה, וכפר בייעוד של תחיית המתים, אין בקבורתו ההכשר ליעוד התחייה – סר מעליו צלם הקדושה, ואין באפרו מהקדושה, ואין בקבורתו ההכשר לתחייה (גשר החיים פרק טז פיסקה ט).</w:t>
      </w:r>
    </w:p>
    <w:p w:rsidR="00072F2A" w:rsidRPr="00863CCE" w:rsidRDefault="00072F2A"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אמנם במקרא מוזכרת שרפה לגבי מלכים שמתו, אבל השרפה שהוזכרה במקרא לגבי המלכים לא היתה שרפת הגוף, אלא שרפה של חפציהם שנעשתה לכבודם לאחר מותם, ובין השאר מתוך העיקרון שאסור לשום אדם להשתמש בחפציו של המלך: </w:t>
      </w:r>
    </w:p>
    <w:p w:rsidR="00072F2A" w:rsidRPr="00863CCE" w:rsidRDefault="00072F2A" w:rsidP="00863CCE">
      <w:pPr>
        <w:autoSpaceDE w:val="0"/>
        <w:autoSpaceDN w:val="0"/>
        <w:adjustRightInd w:val="0"/>
        <w:spacing w:after="0" w:line="360" w:lineRule="auto"/>
        <w:ind w:left="399"/>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כבוד גדול נוהגים במלך, ומשימים לו אימה ויראה בלב כל אדם, שנאמר "</w:t>
      </w:r>
      <w:r w:rsidRPr="00863CCE">
        <w:rPr>
          <w:rFonts w:ascii="Keren" w:eastAsia="Times New Roman" w:hAnsi="Keren" w:cs="David"/>
          <w:sz w:val="20"/>
          <w:szCs w:val="20"/>
          <w:rtl/>
          <w:lang w:eastAsia="he-IL"/>
          <w14:ligatures w14:val="none"/>
        </w:rPr>
        <w:t>שׂוֹם תָּשִׂים עָלֶיךָ מֶלֶךְ</w:t>
      </w:r>
      <w:r w:rsidRPr="00863CCE">
        <w:rPr>
          <w:rFonts w:ascii="Keren" w:eastAsia="Times New Roman" w:hAnsi="Keren" w:cs="David"/>
          <w:szCs w:val="20"/>
          <w:rtl/>
          <w:lang w:eastAsia="he-IL"/>
          <w14:ligatures w14:val="none"/>
        </w:rPr>
        <w:t xml:space="preserve">" – שתהא אימתו עליך. אין רוכבים על סוסו, ואין יושבים על כסאו, ואין משתמשים בשרביטו, ולא בכתרו, ולא באחד מכל כלי תשמישיו. וכשהוא מת – כולם נשרפים לפניו (הלכות מלכים לרמב"ם פרק ב, א). </w:t>
      </w:r>
    </w:p>
    <w:p w:rsidR="00072F2A" w:rsidRPr="00863CCE" w:rsidRDefault="00072F2A"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כך למשל מה שאמר ירמיהו הנביא לצדקיהו "</w:t>
      </w:r>
      <w:r w:rsidRPr="00863CCE">
        <w:rPr>
          <w:rFonts w:ascii="Keren" w:eastAsia="Times New Roman" w:hAnsi="Keren" w:cs="David"/>
          <w:sz w:val="20"/>
          <w:szCs w:val="20"/>
          <w:rtl/>
          <w:lang w:eastAsia="he-IL"/>
          <w14:ligatures w14:val="none"/>
        </w:rPr>
        <w:t>בְּשָׁלוֹם תָּמוּת וּכְמִשְׂרְפוֹת אֲבוֹתֶיךָ הַמְּלָכִים הָרִאשֹׁנִים אֲשֶׁר הָיוּ לְפָנֶיךָ כֵּן יִשְׂרְפוּ לָךְ וְהוֹי אָדוֹן יִסְפְּדוּ לָךְ</w:t>
      </w:r>
      <w:r w:rsidRPr="00863CCE">
        <w:rPr>
          <w:rFonts w:ascii="Keren" w:eastAsia="Times New Roman" w:hAnsi="Keren" w:cs="David"/>
          <w:szCs w:val="20"/>
          <w:rtl/>
          <w:lang w:eastAsia="he-IL"/>
          <w14:ligatures w14:val="none"/>
        </w:rPr>
        <w:t>" (ירמיהו לד, ה). וכן מה שנזכר אצל יהורם בן יהושפט "</w:t>
      </w:r>
      <w:r w:rsidRPr="00863CCE">
        <w:rPr>
          <w:rFonts w:ascii="Keren" w:eastAsia="Times New Roman" w:hAnsi="Keren" w:cs="David"/>
          <w:sz w:val="20"/>
          <w:szCs w:val="20"/>
          <w:rtl/>
          <w:lang w:eastAsia="he-IL"/>
          <w14:ligatures w14:val="none"/>
        </w:rPr>
        <w:t>וְלֹא עָשׂוּ לוֹ עַמּוֹ שְׂרֵפָה כִּשְׂרֵפַת אֲבֹתָיו</w:t>
      </w:r>
      <w:r w:rsidRPr="00863CCE">
        <w:rPr>
          <w:rFonts w:ascii="Keren" w:eastAsia="Times New Roman" w:hAnsi="Keren" w:cs="David"/>
          <w:szCs w:val="20"/>
          <w:rtl/>
          <w:lang w:eastAsia="he-IL"/>
          <w14:ligatures w14:val="none"/>
        </w:rPr>
        <w:t>" (דברי הימים ב', כא, יט). והעניין מבואר יותר אצל אסא מלך יהודה שכתוב בו "</w:t>
      </w:r>
      <w:r w:rsidRPr="00863CCE">
        <w:rPr>
          <w:rFonts w:ascii="Keren" w:eastAsia="Times New Roman" w:hAnsi="Keren" w:cs="David"/>
          <w:sz w:val="20"/>
          <w:szCs w:val="20"/>
          <w:rtl/>
          <w:lang w:eastAsia="he-IL"/>
          <w14:ligatures w14:val="none"/>
        </w:rPr>
        <w:t>וַיִּקְבְּרֻהוּ בְקִבְרֹתָיו אֲשֶׁר כָּרָה לוֹ בְּעִיר דָּוִיד וַיַּשְׁכִּיבֻהוּ בַּמִּשְׁכָּב אֲשֶׁר מִלֵּא בְּשָׂמִים וּזְנִים מְרֻקָּחִים בְּמִרְקַחַת מַעֲשֶׂה וַיִּשְׂרְפוּ לוֹ שְׂרֵפָה גְּדוֹלָה עַד לִמְאֹד</w:t>
      </w:r>
      <w:r w:rsidRPr="00863CCE">
        <w:rPr>
          <w:rFonts w:ascii="Keren" w:eastAsia="Times New Roman" w:hAnsi="Keren" w:cs="David"/>
          <w:szCs w:val="20"/>
          <w:rtl/>
          <w:lang w:eastAsia="he-IL"/>
          <w14:ligatures w14:val="none"/>
        </w:rPr>
        <w:t>" (שם טז, יד). בכולם מפורש ששרפו לכבודם, ולא אותם.</w:t>
      </w:r>
    </w:p>
    <w:p w:rsidR="00072F2A" w:rsidRPr="00863CCE" w:rsidRDefault="00072F2A"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גם בזמן המשנה נהגו לשרוף על מלכים ועל הנשיאים. כך מובא בגמרא (עבודה זרה יא, א; מסכת שמחות פרק ח):</w:t>
      </w:r>
    </w:p>
    <w:p w:rsidR="00072F2A" w:rsidRPr="00863CCE" w:rsidRDefault="00072F2A"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שורפין על המלכים ואין בו משום דרכי האמורי. וכשם ששורפין על המלכים, שורפין על הנשיאים. ומה הם שורפין על המלכים? מיטתן וכלי תשמישן. ומעשה שמת רבן גמליאל הזקן, ושרף עליו אונקלוס הגר (רכוש) בשבעים מנה צורי. </w:t>
      </w:r>
    </w:p>
    <w:p w:rsidR="00072F2A" w:rsidRPr="00863CCE" w:rsidRDefault="00072F2A"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כך גם נפסק להלכה בשלחן ערוך "שורפין על המלכים או על הנשיאים מטתן וכלי תשמישן, אבל על ההדיוטות אסור" (יורה דעה סימן שמח, א).</w:t>
      </w:r>
    </w:p>
    <w:p w:rsidR="00072F2A" w:rsidRPr="00863CCE" w:rsidRDefault="00072F2A" w:rsidP="00863CCE">
      <w:pPr>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גם הגויים הקדמונים נהגו לשרוף על מלכיהם כחלק מפולחן עבודת האלילים, ואותו יום היה נחשב ליום איד (חג) שלהם. חז"ל הגדירו "כל מיתה שיש בה שריפה, יש בה עבודת כוכבים. ושאין בה שריפה, אין בה עבודת כוכבים" (עבודה זרה ח, א). כך גם נפסק להלכה (רמב"ם הלכות עבודת כוכבים ט, ה). עקב כך התעוררה בגמרא השאלה האם אין בשרפה על המתים משום "</w:t>
      </w:r>
      <w:r w:rsidRPr="00863CCE">
        <w:rPr>
          <w:rFonts w:ascii="Keren" w:eastAsia="Times New Roman" w:hAnsi="Keren" w:cs="David"/>
          <w:sz w:val="20"/>
          <w:szCs w:val="20"/>
          <w:rtl/>
          <w:lang w:eastAsia="he-IL"/>
          <w14:ligatures w14:val="none"/>
        </w:rPr>
        <w:t>וּבְחֻקֹּתֵיהֶם לֹא תֵלֵכוּ</w:t>
      </w:r>
      <w:r w:rsidRPr="00863CCE">
        <w:rPr>
          <w:rFonts w:ascii="Keren" w:eastAsia="Times New Roman" w:hAnsi="Keren" w:cs="David"/>
          <w:szCs w:val="20"/>
          <w:rtl/>
          <w:lang w:eastAsia="he-IL"/>
          <w14:ligatures w14:val="none"/>
        </w:rPr>
        <w:t>", דהיינו מנהגי הגויים שיש בהם חשש עבודה זרה או מנהגים וחוקים המנוגדים ליהדות. תשובת הגמרא היתה, שכיון ששריפה זו מוזכרת במקרא עוד לפני שהגויים נהגו במנהג זה, אין בכך משום "</w:t>
      </w:r>
      <w:r w:rsidRPr="00863CCE">
        <w:rPr>
          <w:rFonts w:ascii="Keren" w:eastAsia="Times New Roman" w:hAnsi="Keren" w:cs="David"/>
          <w:sz w:val="20"/>
          <w:szCs w:val="20"/>
          <w:rtl/>
          <w:lang w:eastAsia="he-IL"/>
          <w14:ligatures w14:val="none"/>
        </w:rPr>
        <w:t>וּבְחֻקֹּתֵיהֶם לֹא תֵלֵכוּ</w:t>
      </w:r>
      <w:r w:rsidRPr="00863CCE">
        <w:rPr>
          <w:rFonts w:ascii="Keren" w:eastAsia="Times New Roman" w:hAnsi="Keren" w:cs="David"/>
          <w:szCs w:val="20"/>
          <w:rtl/>
          <w:lang w:eastAsia="he-IL"/>
          <w14:ligatures w14:val="none"/>
        </w:rPr>
        <w:t>", כיון שמתברר שלא מהם נלמד העניין – "לאו מינייהו קא גמרינן".</w:t>
      </w:r>
    </w:p>
    <w:p w:rsidR="00072F2A" w:rsidRPr="00863CCE" w:rsidRDefault="00072F2A"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להלכה פסק הרמב"ם:</w:t>
      </w:r>
    </w:p>
    <w:p w:rsidR="00072F2A" w:rsidRPr="00863CCE" w:rsidRDefault="00072F2A" w:rsidP="00072F2A">
      <w:pPr>
        <w:numPr>
          <w:ilvl w:val="0"/>
          <w:numId w:val="1"/>
        </w:num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כל הכלים שזורקין על המת על המיטה הנקברת עמו, אסורין בהנאה. </w:t>
      </w:r>
    </w:p>
    <w:p w:rsidR="00072F2A" w:rsidRPr="00863CCE" w:rsidRDefault="00072F2A" w:rsidP="00072F2A">
      <w:pPr>
        <w:numPr>
          <w:ilvl w:val="0"/>
          <w:numId w:val="1"/>
        </w:num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בל תשחית:להימנע מלזרוק כלים על המת, כדי שלא יאסרו בהנאה</w:instrText>
      </w:r>
      <w:r w:rsidRPr="00863CCE">
        <w:rPr>
          <w:rFonts w:ascii="Keren" w:eastAsia="Times New Roman" w:hAnsi="Keren" w:cs="David" w:hint="cs"/>
          <w:sz w:val="28"/>
          <w:szCs w:val="24"/>
          <w:lang w:eastAsia="he-IL"/>
          <w14:ligatures w14:val="none"/>
        </w:rPr>
        <w:instrText xml:space="preserve"> "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היו אביו ואמו (של המת) מזרקין כלים בחמתן על המת, מצוה על אחרים להצילן. ואם הגיעו למיטה הנקברת עמו, אין מצילין אותן.</w:t>
      </w:r>
    </w:p>
    <w:p w:rsidR="00072F2A" w:rsidRPr="00863CCE" w:rsidRDefault="00072F2A" w:rsidP="00072F2A">
      <w:pPr>
        <w:numPr>
          <w:ilvl w:val="0"/>
          <w:numId w:val="1"/>
        </w:num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מלמדין את האדם שלא יהיה חבלן ולא יפסיד את הכלים וישליכם לחבלה. מוטב לתתן לעניים ואל ישליכם לרימה ותולעה. וכל המרבה כלים על המת עובר בלא תשחית.</w:t>
      </w:r>
    </w:p>
    <w:p w:rsidR="00072F2A" w:rsidRPr="00863CCE" w:rsidRDefault="00072F2A" w:rsidP="00072F2A">
      <w:pPr>
        <w:numPr>
          <w:ilvl w:val="0"/>
          <w:numId w:val="1"/>
        </w:num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מלך או נשיא שמת, יש להן לשרוף מטתו וכל כלי תשמישו ואין בזה משום דרכי האמורי ולא משום השחתה. שנאמר (ירמיהו לד, ה) "</w:t>
      </w:r>
      <w:r w:rsidRPr="00863CCE">
        <w:rPr>
          <w:rFonts w:ascii="Keren" w:eastAsia="Times New Roman" w:hAnsi="Keren" w:cs="David"/>
          <w:sz w:val="20"/>
          <w:szCs w:val="20"/>
          <w:rtl/>
          <w:lang w:eastAsia="he-IL"/>
          <w14:ligatures w14:val="none"/>
        </w:rPr>
        <w:t>בְּשָׁלוֹם תָּמוּת וּכְמִשְׂרְפוֹת אֲבוֹתֶיךָ הַמְּלָכִים הָרִאשֹׁנִים... יִשְׂרְפוּ לָךְ</w:t>
      </w:r>
      <w:r w:rsidRPr="00863CCE">
        <w:rPr>
          <w:rFonts w:ascii="Keren" w:eastAsia="Times New Roman" w:hAnsi="Keren" w:cs="David"/>
          <w:szCs w:val="20"/>
          <w:rtl/>
          <w:lang w:eastAsia="he-IL"/>
          <w14:ligatures w14:val="none"/>
        </w:rPr>
        <w:t>" (הלכות אבל פרק יד, כב – כו).</w:t>
      </w:r>
    </w:p>
    <w:p w:rsidR="00072F2A" w:rsidRPr="00863CCE" w:rsidRDefault="00072F2A"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כעין זה נפסק גם בשלחן ערוך (שם סימן שמט, ג – ד). </w:t>
      </w:r>
    </w:p>
    <w:p w:rsidR="00072F2A" w:rsidRPr="00863CCE" w:rsidRDefault="00072F2A"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ע"ע בספר גשר החיים (חלק שני פרק יג) על ההבדל בין קבורה לשריפה.</w:t>
      </w:r>
    </w:p>
    <w:p w:rsidR="00D5072B" w:rsidRDefault="00072F2A">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איסור הנאה ממת. אפר הנשרפים. דרכי האמורי. קבורה.</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Keren">
    <w:altName w:val="Times New Roman"/>
    <w:charset w:val="B1"/>
    <w:family w:val="auto"/>
    <w:pitch w:val="variable"/>
    <w:sig w:usb0="00001801" w:usb1="00000000" w:usb2="00000000" w:usb3="00000000" w:csb0="00000020"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F2865"/>
    <w:multiLevelType w:val="hybridMultilevel"/>
    <w:tmpl w:val="D2BAB7F8"/>
    <w:lvl w:ilvl="0" w:tplc="FFFFFFFF">
      <w:numFmt w:val="irohaFullWidth"/>
      <w:lvlText w:val="-"/>
      <w:lvlJc w:val="left"/>
      <w:pPr>
        <w:tabs>
          <w:tab w:val="num" w:pos="386"/>
        </w:tabs>
        <w:ind w:left="386" w:hanging="360"/>
      </w:pPr>
      <w:rPr>
        <w:rFonts w:ascii="Keren" w:eastAsia="Times New Roman" w:hAnsi="Keren" w:cs="David" w:hint="cs"/>
      </w:rPr>
    </w:lvl>
    <w:lvl w:ilvl="1" w:tplc="040D0019">
      <w:start w:val="1"/>
      <w:numFmt w:val="lowerLetter"/>
      <w:lvlText w:val="%2."/>
      <w:lvlJc w:val="left"/>
      <w:pPr>
        <w:tabs>
          <w:tab w:val="num" w:pos="386"/>
        </w:tabs>
        <w:ind w:left="386" w:hanging="360"/>
      </w:pPr>
    </w:lvl>
    <w:lvl w:ilvl="2" w:tplc="040D001B">
      <w:start w:val="1"/>
      <w:numFmt w:val="lowerRoman"/>
      <w:lvlText w:val="%3."/>
      <w:lvlJc w:val="right"/>
      <w:pPr>
        <w:tabs>
          <w:tab w:val="num" w:pos="1106"/>
        </w:tabs>
        <w:ind w:left="1106" w:hanging="180"/>
      </w:pPr>
    </w:lvl>
    <w:lvl w:ilvl="3" w:tplc="040D000F">
      <w:start w:val="1"/>
      <w:numFmt w:val="decimal"/>
      <w:lvlText w:val="%4."/>
      <w:lvlJc w:val="left"/>
      <w:pPr>
        <w:tabs>
          <w:tab w:val="num" w:pos="1826"/>
        </w:tabs>
        <w:ind w:left="1826" w:hanging="360"/>
      </w:pPr>
    </w:lvl>
    <w:lvl w:ilvl="4" w:tplc="040D0019">
      <w:start w:val="1"/>
      <w:numFmt w:val="lowerLetter"/>
      <w:lvlText w:val="%5."/>
      <w:lvlJc w:val="left"/>
      <w:pPr>
        <w:tabs>
          <w:tab w:val="num" w:pos="2546"/>
        </w:tabs>
        <w:ind w:left="2546" w:hanging="360"/>
      </w:pPr>
    </w:lvl>
    <w:lvl w:ilvl="5" w:tplc="040D001B">
      <w:start w:val="1"/>
      <w:numFmt w:val="lowerRoman"/>
      <w:lvlText w:val="%6."/>
      <w:lvlJc w:val="right"/>
      <w:pPr>
        <w:tabs>
          <w:tab w:val="num" w:pos="3266"/>
        </w:tabs>
        <w:ind w:left="3266" w:hanging="180"/>
      </w:pPr>
    </w:lvl>
    <w:lvl w:ilvl="6" w:tplc="040D000F">
      <w:start w:val="1"/>
      <w:numFmt w:val="decimal"/>
      <w:lvlText w:val="%7."/>
      <w:lvlJc w:val="left"/>
      <w:pPr>
        <w:tabs>
          <w:tab w:val="num" w:pos="3986"/>
        </w:tabs>
        <w:ind w:left="3986" w:hanging="360"/>
      </w:pPr>
    </w:lvl>
    <w:lvl w:ilvl="7" w:tplc="040D0019">
      <w:start w:val="1"/>
      <w:numFmt w:val="lowerLetter"/>
      <w:lvlText w:val="%8."/>
      <w:lvlJc w:val="left"/>
      <w:pPr>
        <w:tabs>
          <w:tab w:val="num" w:pos="4706"/>
        </w:tabs>
        <w:ind w:left="4706" w:hanging="360"/>
      </w:pPr>
    </w:lvl>
    <w:lvl w:ilvl="8" w:tplc="040D001B">
      <w:start w:val="1"/>
      <w:numFmt w:val="lowerRoman"/>
      <w:lvlText w:val="%9."/>
      <w:lvlJc w:val="right"/>
      <w:pPr>
        <w:tabs>
          <w:tab w:val="num" w:pos="5426"/>
        </w:tabs>
        <w:ind w:left="5426" w:hanging="180"/>
      </w:pPr>
    </w:lvl>
  </w:abstractNum>
  <w:num w:numId="1" w16cid:durableId="1690988767">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F2A"/>
    <w:rsid w:val="00072F2A"/>
    <w:rsid w:val="000D0A23"/>
    <w:rsid w:val="002C1211"/>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021C33-615D-492A-B4E8-933EC854C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72F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72F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72F2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72F2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72F2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72F2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72F2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72F2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72F2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072F2A"/>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072F2A"/>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072F2A"/>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072F2A"/>
    <w:rPr>
      <w:rFonts w:eastAsiaTheme="majorEastAsia" w:cstheme="majorBidi"/>
      <w:i/>
      <w:iCs/>
      <w:color w:val="0F4761" w:themeColor="accent1" w:themeShade="BF"/>
    </w:rPr>
  </w:style>
  <w:style w:type="character" w:customStyle="1" w:styleId="50">
    <w:name w:val="כותרת 5 תו"/>
    <w:basedOn w:val="a0"/>
    <w:link w:val="5"/>
    <w:uiPriority w:val="9"/>
    <w:semiHidden/>
    <w:rsid w:val="00072F2A"/>
    <w:rPr>
      <w:rFonts w:eastAsiaTheme="majorEastAsia" w:cstheme="majorBidi"/>
      <w:color w:val="0F4761" w:themeColor="accent1" w:themeShade="BF"/>
    </w:rPr>
  </w:style>
  <w:style w:type="character" w:customStyle="1" w:styleId="60">
    <w:name w:val="כותרת 6 תו"/>
    <w:basedOn w:val="a0"/>
    <w:link w:val="6"/>
    <w:uiPriority w:val="9"/>
    <w:semiHidden/>
    <w:rsid w:val="00072F2A"/>
    <w:rPr>
      <w:rFonts w:eastAsiaTheme="majorEastAsia" w:cstheme="majorBidi"/>
      <w:i/>
      <w:iCs/>
      <w:color w:val="595959" w:themeColor="text1" w:themeTint="A6"/>
    </w:rPr>
  </w:style>
  <w:style w:type="character" w:customStyle="1" w:styleId="70">
    <w:name w:val="כותרת 7 תו"/>
    <w:basedOn w:val="a0"/>
    <w:link w:val="7"/>
    <w:uiPriority w:val="9"/>
    <w:semiHidden/>
    <w:rsid w:val="00072F2A"/>
    <w:rPr>
      <w:rFonts w:eastAsiaTheme="majorEastAsia" w:cstheme="majorBidi"/>
      <w:color w:val="595959" w:themeColor="text1" w:themeTint="A6"/>
    </w:rPr>
  </w:style>
  <w:style w:type="character" w:customStyle="1" w:styleId="80">
    <w:name w:val="כותרת 8 תו"/>
    <w:basedOn w:val="a0"/>
    <w:link w:val="8"/>
    <w:uiPriority w:val="9"/>
    <w:semiHidden/>
    <w:rsid w:val="00072F2A"/>
    <w:rPr>
      <w:rFonts w:eastAsiaTheme="majorEastAsia" w:cstheme="majorBidi"/>
      <w:i/>
      <w:iCs/>
      <w:color w:val="272727" w:themeColor="text1" w:themeTint="D8"/>
    </w:rPr>
  </w:style>
  <w:style w:type="character" w:customStyle="1" w:styleId="90">
    <w:name w:val="כותרת 9 תו"/>
    <w:basedOn w:val="a0"/>
    <w:link w:val="9"/>
    <w:uiPriority w:val="9"/>
    <w:semiHidden/>
    <w:rsid w:val="00072F2A"/>
    <w:rPr>
      <w:rFonts w:eastAsiaTheme="majorEastAsia" w:cstheme="majorBidi"/>
      <w:color w:val="272727" w:themeColor="text1" w:themeTint="D8"/>
    </w:rPr>
  </w:style>
  <w:style w:type="paragraph" w:styleId="a3">
    <w:name w:val="Title"/>
    <w:basedOn w:val="a"/>
    <w:next w:val="a"/>
    <w:link w:val="a4"/>
    <w:uiPriority w:val="10"/>
    <w:qFormat/>
    <w:rsid w:val="00072F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072F2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72F2A"/>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072F2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72F2A"/>
    <w:pPr>
      <w:spacing w:before="160"/>
      <w:jc w:val="center"/>
    </w:pPr>
    <w:rPr>
      <w:i/>
      <w:iCs/>
      <w:color w:val="404040" w:themeColor="text1" w:themeTint="BF"/>
    </w:rPr>
  </w:style>
  <w:style w:type="character" w:customStyle="1" w:styleId="a8">
    <w:name w:val="ציטוט תו"/>
    <w:basedOn w:val="a0"/>
    <w:link w:val="a7"/>
    <w:uiPriority w:val="29"/>
    <w:rsid w:val="00072F2A"/>
    <w:rPr>
      <w:i/>
      <w:iCs/>
      <w:color w:val="404040" w:themeColor="text1" w:themeTint="BF"/>
    </w:rPr>
  </w:style>
  <w:style w:type="paragraph" w:styleId="a9">
    <w:name w:val="List Paragraph"/>
    <w:basedOn w:val="a"/>
    <w:uiPriority w:val="34"/>
    <w:qFormat/>
    <w:rsid w:val="00072F2A"/>
    <w:pPr>
      <w:ind w:left="720"/>
      <w:contextualSpacing/>
    </w:pPr>
  </w:style>
  <w:style w:type="character" w:styleId="aa">
    <w:name w:val="Intense Emphasis"/>
    <w:basedOn w:val="a0"/>
    <w:uiPriority w:val="21"/>
    <w:qFormat/>
    <w:rsid w:val="00072F2A"/>
    <w:rPr>
      <w:i/>
      <w:iCs/>
      <w:color w:val="0F4761" w:themeColor="accent1" w:themeShade="BF"/>
    </w:rPr>
  </w:style>
  <w:style w:type="paragraph" w:styleId="ab">
    <w:name w:val="Intense Quote"/>
    <w:basedOn w:val="a"/>
    <w:next w:val="a"/>
    <w:link w:val="ac"/>
    <w:uiPriority w:val="30"/>
    <w:qFormat/>
    <w:rsid w:val="00072F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072F2A"/>
    <w:rPr>
      <w:i/>
      <w:iCs/>
      <w:color w:val="0F4761" w:themeColor="accent1" w:themeShade="BF"/>
    </w:rPr>
  </w:style>
  <w:style w:type="character" w:styleId="ad">
    <w:name w:val="Intense Reference"/>
    <w:basedOn w:val="a0"/>
    <w:uiPriority w:val="32"/>
    <w:qFormat/>
    <w:rsid w:val="00072F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631</Words>
  <Characters>3158</Characters>
  <Application>Microsoft Office Word</Application>
  <DocSecurity>0</DocSecurity>
  <Lines>26</Lines>
  <Paragraphs>7</Paragraphs>
  <ScaleCrop>false</ScaleCrop>
  <Company/>
  <LinksUpToDate>false</LinksUpToDate>
  <CharactersWithSpaces>3782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2025-12-04T23:15:00Z</dcterms:created>
  <dcterms:modified xsi:type="dcterms:W3CDTF">2025-12-04T23:15:00Z</dcterms:modified>
</cp:coreProperties>
</file>