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37DC7" w:rsidRPr="00863CCE" w:rsidRDefault="00037DC7" w:rsidP="00863CCE">
      <w:pPr>
        <w:spacing w:after="0" w:line="360" w:lineRule="auto"/>
        <w:jc w:val="both"/>
        <w:rPr>
          <w:rFonts w:ascii="Keren" w:eastAsia="Times New Roman" w:hAnsi="Keren" w:cs="David"/>
          <w:b/>
          <w:bCs/>
          <w:sz w:val="26"/>
          <w:szCs w:val="24"/>
          <w:rtl/>
          <w:lang w:eastAsia="he-IL"/>
          <w14:ligatures w14:val="none"/>
        </w:rPr>
      </w:pPr>
      <w:r w:rsidRPr="00863CCE">
        <w:rPr>
          <w:rFonts w:ascii="Keren" w:eastAsia="Times New Roman" w:hAnsi="Keren" w:cs="David"/>
          <w:b/>
          <w:bCs/>
          <w:sz w:val="26"/>
          <w:szCs w:val="24"/>
          <w:rtl/>
          <w:lang w:eastAsia="he-IL"/>
          <w14:ligatures w14:val="none"/>
        </w:rPr>
        <w:t>תוחלת החיים</w:t>
      </w:r>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תוחלת החיים:ערך באוצר המושגים</w:instrText>
      </w:r>
      <w:r w:rsidRPr="00863CCE">
        <w:rPr>
          <w:rFonts w:ascii="Keren" w:eastAsia="Times New Roman" w:hAnsi="Keren" w:cs="David" w:hint="cs"/>
          <w:sz w:val="28"/>
          <w:szCs w:val="24"/>
          <w:lang w:eastAsia="he-IL"/>
          <w14:ligatures w14:val="none"/>
        </w:rPr>
        <w:instrText xml:space="preserve">" \b </w:instrText>
      </w:r>
      <w:r w:rsidRPr="00863CCE">
        <w:rPr>
          <w:rFonts w:ascii="Keren" w:eastAsia="Times New Roman" w:hAnsi="Keren" w:cs="David"/>
          <w:b/>
          <w:bCs/>
          <w:sz w:val="26"/>
          <w:szCs w:val="24"/>
          <w:rtl/>
          <w:lang w:eastAsia="he-IL"/>
          <w14:ligatures w14:val="none"/>
        </w:rPr>
        <w:fldChar w:fldCharType="end"/>
      </w:r>
    </w:p>
    <w:p w:rsidR="00037DC7" w:rsidRPr="00863CCE" w:rsidRDefault="00037DC7"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סיכוי משוער של אורך החיים. חכמי ישראל דנו בשאלה האם אורך חיי האדם קבוע מראש או משתנה.</w:t>
      </w:r>
    </w:p>
    <w:p w:rsidR="00037DC7" w:rsidRPr="00863CCE" w:rsidRDefault="00037DC7"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על הפסוק "</w:t>
      </w:r>
      <w:r w:rsidRPr="00863CCE">
        <w:rPr>
          <w:rFonts w:ascii="Keren" w:eastAsia="Times New Roman" w:hAnsi="Keren" w:cs="David"/>
          <w:sz w:val="20"/>
          <w:szCs w:val="20"/>
          <w:rtl/>
          <w:lang w:eastAsia="he-IL"/>
          <w14:ligatures w14:val="none"/>
        </w:rPr>
        <w:t>בֶּן מֵאָה וְעֶשְׂרִים שָׁנָה אָנֹכִי הַיּוֹם</w:t>
      </w:r>
      <w:r w:rsidRPr="00863CCE">
        <w:rPr>
          <w:rFonts w:ascii="Keren" w:eastAsia="Times New Roman" w:hAnsi="Keren" w:cs="David"/>
          <w:szCs w:val="20"/>
          <w:rtl/>
          <w:lang w:eastAsia="he-IL"/>
          <w14:ligatures w14:val="none"/>
        </w:rPr>
        <w:t>" (דברים לא, ב) דרשה הגמרא (ראש השנה יא, א) "היום מלאו ימי ושנותי. שהקדוש ברוך הוא יושב וממלא שנותיהם של צדיקים מיום ליום ומחודש לחודש שנאמר "</w:t>
      </w:r>
      <w:r w:rsidRPr="00863CCE">
        <w:rPr>
          <w:rFonts w:ascii="Keren" w:eastAsia="Times New Roman" w:hAnsi="Keren" w:cs="David"/>
          <w:sz w:val="20"/>
          <w:szCs w:val="20"/>
          <w:rtl/>
          <w:lang w:eastAsia="he-IL"/>
          <w14:ligatures w14:val="none"/>
        </w:rPr>
        <w:t>אֶת מִסְפַּר יָמֶיךָ אֲמַלֵּא</w:t>
      </w:r>
      <w:r w:rsidRPr="00863CCE">
        <w:rPr>
          <w:rFonts w:ascii="Keren" w:eastAsia="Times New Roman" w:hAnsi="Keren" w:cs="David"/>
          <w:szCs w:val="20"/>
          <w:rtl/>
          <w:lang w:eastAsia="he-IL"/>
          <w14:ligatures w14:val="none"/>
        </w:rPr>
        <w:t>" (שמות כג, כו). שבו ביום מלאו למשה רבנו מאה ועשרים שנה, וכך מקובל לומר על צדיקי עליון שנולדים ונפטרים באותו תאריך.</w:t>
      </w:r>
    </w:p>
    <w:p w:rsidR="00037DC7" w:rsidRPr="00863CCE" w:rsidRDefault="00037DC7"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ועתה אדבר בעניין קץ חיי האדם, ואומר, כי בוראם כבר עשה להתחברותם זמן מסוים קצוב, כאמרו "</w:t>
      </w:r>
      <w:r w:rsidRPr="00863CCE">
        <w:rPr>
          <w:rFonts w:ascii="Keren" w:eastAsia="Times New Roman" w:hAnsi="Keren" w:cs="David"/>
          <w:sz w:val="20"/>
          <w:szCs w:val="20"/>
          <w:rtl/>
          <w:lang w:eastAsia="he-IL"/>
          <w14:ligatures w14:val="none"/>
        </w:rPr>
        <w:t>אֶת מִסְפַּר יָמֶיךָ אֲמַלֵּא</w:t>
      </w:r>
      <w:r w:rsidRPr="00863CCE">
        <w:rPr>
          <w:rFonts w:ascii="Keren" w:eastAsia="Times New Roman" w:hAnsi="Keren" w:cs="David"/>
          <w:szCs w:val="20"/>
          <w:rtl/>
          <w:lang w:eastAsia="he-IL"/>
          <w14:ligatures w14:val="none"/>
        </w:rPr>
        <w:t>" (שמות כג, כו), ואמר לאדון הנבראים "</w:t>
      </w:r>
      <w:r w:rsidRPr="00863CCE">
        <w:rPr>
          <w:rFonts w:ascii="Keren" w:eastAsia="Times New Roman" w:hAnsi="Keren" w:cs="David"/>
          <w:sz w:val="20"/>
          <w:szCs w:val="20"/>
          <w:rtl/>
          <w:lang w:eastAsia="he-IL"/>
          <w14:ligatures w14:val="none"/>
        </w:rPr>
        <w:t>הֵן קָרְבוּ יָמֶיךָ לָמוּת</w:t>
      </w:r>
      <w:r w:rsidRPr="00863CCE">
        <w:rPr>
          <w:rFonts w:ascii="Keren" w:eastAsia="Times New Roman" w:hAnsi="Keren" w:cs="David"/>
          <w:szCs w:val="20"/>
          <w:rtl/>
          <w:lang w:eastAsia="he-IL"/>
          <w14:ligatures w14:val="none"/>
        </w:rPr>
        <w:t>" (למשה רבנו, דברים לא, יד), ואמר לאחד החסידים "</w:t>
      </w:r>
      <w:r w:rsidRPr="00863CCE">
        <w:rPr>
          <w:rFonts w:ascii="Keren" w:eastAsia="Times New Roman" w:hAnsi="Keren" w:cs="David"/>
          <w:sz w:val="20"/>
          <w:szCs w:val="20"/>
          <w:rtl/>
          <w:lang w:eastAsia="he-IL"/>
          <w14:ligatures w14:val="none"/>
        </w:rPr>
        <w:t>כִּי יִמְלְאוּ יָמֶיךָ וְשָׁכַבְתָּ אֶת אֲבֹתֶיךָ</w:t>
      </w:r>
      <w:r w:rsidRPr="00863CCE">
        <w:rPr>
          <w:rFonts w:ascii="Keren" w:eastAsia="Times New Roman" w:hAnsi="Keren" w:cs="David"/>
          <w:szCs w:val="20"/>
          <w:rtl/>
          <w:lang w:eastAsia="he-IL"/>
          <w14:ligatures w14:val="none"/>
        </w:rPr>
        <w:t>" (לדוד המלך, שמואל ב', ז, יב).</w:t>
      </w:r>
    </w:p>
    <w:p w:rsidR="00037DC7" w:rsidRPr="00863CCE" w:rsidRDefault="00037DC7"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ואומר אני כי יש שהוא מוסיף על אותו הזמן וגורע, ואין אותו הזמן לדעתי בלתי ידוע לפניו שהוא ישאיר את הנפש בגוף, כי ידיעתו אינה שונה מאמתת הדבר, אלא אותה הקצבה לדעתי הסובלת את התוספת והגרעון היא משך זמן הכוחות אשר ניתנו בגוף שיתקיים, והוא שמתחילת בריאתו אין ספק שהוא בנהו בכוחות מוגבלים אם רבים ואם מעטים, ומשך קיום אותן הכוחות הוא הנקרא קץ חיי האדם. ויכול הוא להוסיף בהן ויתקיימו עם השבעים שלושים אחרות, ויכול להחלישן ולהרפותן ויתפרקו בארבעים… כי יסוד כח הגוף בנה אותו על שבעים, ושהוא יוסיף עליהן שלושים או יגרע מהן שלושים.</w:t>
      </w:r>
    </w:p>
    <w:p w:rsidR="00037DC7" w:rsidRPr="00863CCE" w:rsidRDefault="00037DC7"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ומאין אני מחייב שיש תוספת או גרעון, ממה שנאמר "</w:t>
      </w:r>
      <w:r w:rsidRPr="00863CCE">
        <w:rPr>
          <w:rFonts w:ascii="Keren" w:eastAsia="Times New Roman" w:hAnsi="Keren" w:cs="David"/>
          <w:sz w:val="20"/>
          <w:szCs w:val="20"/>
          <w:rtl/>
          <w:lang w:eastAsia="he-IL"/>
          <w14:ligatures w14:val="none"/>
        </w:rPr>
        <w:t>יִרְאַת ה' תּוֹסִיף יָמִים וּשְׁנוֹת רְשָׁעִים תִּקְצֹרְנָה</w:t>
      </w:r>
      <w:r w:rsidRPr="00863CCE">
        <w:rPr>
          <w:rFonts w:ascii="Keren" w:eastAsia="Times New Roman" w:hAnsi="Keren" w:cs="David"/>
          <w:szCs w:val="20"/>
          <w:rtl/>
          <w:lang w:eastAsia="he-IL"/>
          <w14:ligatures w14:val="none"/>
        </w:rPr>
        <w:t>" (משלי י, כז), ונאמר באחד הצדיקים "</w:t>
      </w:r>
      <w:r w:rsidRPr="00863CCE">
        <w:rPr>
          <w:rFonts w:ascii="Keren" w:eastAsia="Times New Roman" w:hAnsi="Keren" w:cs="David"/>
          <w:sz w:val="20"/>
          <w:szCs w:val="20"/>
          <w:rtl/>
          <w:lang w:eastAsia="he-IL"/>
          <w14:ligatures w14:val="none"/>
        </w:rPr>
        <w:t>וְהֹסַפְתִּי עַל יָמֶיךָ חֲמֵשׁ עֶשְׂרֵה שָׁנָה</w:t>
      </w:r>
      <w:r w:rsidRPr="00863CCE">
        <w:rPr>
          <w:rFonts w:ascii="Keren" w:eastAsia="Times New Roman" w:hAnsi="Keren" w:cs="David"/>
          <w:szCs w:val="20"/>
          <w:rtl/>
          <w:lang w:eastAsia="he-IL"/>
          <w14:ligatures w14:val="none"/>
        </w:rPr>
        <w:t>" (על חזקיהו, מלכים ב', כ, ו), ואמר בהרבה מן הגמולות "</w:t>
      </w:r>
      <w:r w:rsidRPr="00863CCE">
        <w:rPr>
          <w:rFonts w:ascii="Keren" w:eastAsia="Times New Roman" w:hAnsi="Keren" w:cs="David"/>
          <w:sz w:val="20"/>
          <w:szCs w:val="20"/>
          <w:rtl/>
          <w:lang w:eastAsia="he-IL"/>
          <w14:ligatures w14:val="none"/>
        </w:rPr>
        <w:t>לְמַעַן יַאֲרִיכֻן יָמֶיךָ</w:t>
      </w:r>
      <w:r w:rsidRPr="00863CCE">
        <w:rPr>
          <w:rFonts w:ascii="Keren" w:eastAsia="Times New Roman" w:hAnsi="Keren" w:cs="David"/>
          <w:szCs w:val="20"/>
          <w:rtl/>
          <w:lang w:eastAsia="he-IL"/>
          <w14:ligatures w14:val="none"/>
        </w:rPr>
        <w:t>" (שמות כ,יא; דברים ה, טז; ו,ב; כה, טו) וכל הדומה לכך, ואמר במקצת הרשעים "</w:t>
      </w:r>
      <w:r w:rsidRPr="00863CCE">
        <w:rPr>
          <w:rFonts w:ascii="Keren" w:eastAsia="Times New Roman" w:hAnsi="Keren" w:cs="David"/>
          <w:sz w:val="20"/>
          <w:szCs w:val="20"/>
          <w:rtl/>
          <w:lang w:eastAsia="he-IL"/>
          <w14:ligatures w14:val="none"/>
        </w:rPr>
        <w:t>וה' הִכָּה כָל בְּכוֹר בְּאֶרֶץ מִצְרַיִם</w:t>
      </w:r>
      <w:r w:rsidRPr="00863CCE">
        <w:rPr>
          <w:rFonts w:ascii="Keren" w:eastAsia="Times New Roman" w:hAnsi="Keren" w:cs="David"/>
          <w:szCs w:val="20"/>
          <w:rtl/>
          <w:lang w:eastAsia="he-IL"/>
          <w14:ligatures w14:val="none"/>
        </w:rPr>
        <w:t>" (שמות יב, כט), "</w:t>
      </w:r>
      <w:r w:rsidRPr="00863CCE">
        <w:rPr>
          <w:rFonts w:ascii="Keren" w:eastAsia="Times New Roman" w:hAnsi="Keren" w:cs="David"/>
          <w:sz w:val="20"/>
          <w:szCs w:val="20"/>
          <w:rtl/>
          <w:lang w:eastAsia="he-IL"/>
          <w14:ligatures w14:val="none"/>
        </w:rPr>
        <w:t>וַיִּהְיוּ הַמֵּתִים בַּמַּגֵּפָה</w:t>
      </w:r>
      <w:r w:rsidRPr="00863CCE">
        <w:rPr>
          <w:rFonts w:ascii="Keren" w:eastAsia="Times New Roman" w:hAnsi="Keren" w:cs="David"/>
          <w:szCs w:val="20"/>
          <w:rtl/>
          <w:lang w:eastAsia="he-IL"/>
          <w14:ligatures w14:val="none"/>
        </w:rPr>
        <w:t>" (במדבר כה, ט) וכדומה לכך. ואילו היו מתים לפי כח קץ ימיהם לא היתה זו מגפה בגלל חטאיהם, ומאומה לא נסתלק בפעולתו של פנחס (שעצר את המגפה). וכבר עשה הנביא את המגפה זולת קץ ימי חייו שנאמר "</w:t>
      </w:r>
      <w:r w:rsidRPr="00863CCE">
        <w:rPr>
          <w:rFonts w:ascii="Keren" w:eastAsia="Times New Roman" w:hAnsi="Keren" w:cs="David"/>
          <w:sz w:val="20"/>
          <w:szCs w:val="20"/>
          <w:rtl/>
          <w:lang w:eastAsia="he-IL"/>
          <w14:ligatures w14:val="none"/>
        </w:rPr>
        <w:t>אוֹ יוֹמוֹ יָבוֹא וָמֵת אוֹ בַמִּלְחָמָה יֵרֵד וְנִסְפָּה</w:t>
      </w:r>
      <w:r w:rsidRPr="00863CCE">
        <w:rPr>
          <w:rFonts w:ascii="Keren" w:eastAsia="Times New Roman" w:hAnsi="Keren" w:cs="David"/>
          <w:szCs w:val="20"/>
          <w:rtl/>
          <w:lang w:eastAsia="he-IL"/>
          <w14:ligatures w14:val="none"/>
        </w:rPr>
        <w:t>" (דוד אמר על שאול, שמואל א', כו, י).</w:t>
      </w:r>
    </w:p>
    <w:p w:rsidR="00037DC7" w:rsidRPr="00863CCE" w:rsidRDefault="00037DC7"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ואומר אני שלא כל צדיק מוסיפין על ימיו, ולא כל רשע גורעין, אלא לפי רצון הבורא ולפי הצדיק. ואותם הצדיקים שלא הוסיפו להם הרי גמול העולם הבא לפניהם, ומי שלא נכרת מן הרשעים הרי עונש האחרית לפניהם, כאמרו "</w:t>
      </w:r>
      <w:r w:rsidRPr="00863CCE">
        <w:rPr>
          <w:rFonts w:ascii="Keren" w:eastAsia="Times New Roman" w:hAnsi="Keren" w:cs="David"/>
          <w:sz w:val="20"/>
          <w:szCs w:val="20"/>
          <w:rtl/>
          <w:lang w:eastAsia="he-IL"/>
          <w14:ligatures w14:val="none"/>
        </w:rPr>
        <w:t>כִּי עֵת לְכָל חֵפֶץ וְעַל כָּל הַמַּעֲשֶׂה שָׁם</w:t>
      </w:r>
      <w:r w:rsidRPr="00863CCE">
        <w:rPr>
          <w:rFonts w:ascii="Keren" w:eastAsia="Times New Roman" w:hAnsi="Keren" w:cs="David"/>
          <w:szCs w:val="20"/>
          <w:rtl/>
          <w:lang w:eastAsia="he-IL"/>
          <w14:ligatures w14:val="none"/>
        </w:rPr>
        <w:t xml:space="preserve">" (קהלת ג, יז). </w:t>
      </w:r>
    </w:p>
    <w:p w:rsidR="00037DC7" w:rsidRPr="00863CCE" w:rsidRDefault="00037DC7" w:rsidP="00863CCE">
      <w:pPr>
        <w:spacing w:after="0" w:line="360" w:lineRule="auto"/>
        <w:ind w:left="386"/>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(הנבחר באמונות ודעות, רבי סעדיה גאון, המאמר השישי פרק ו).</w:t>
      </w:r>
    </w:p>
    <w:p w:rsidR="00D5072B" w:rsidRDefault="00037DC7">
      <w:r w:rsidRPr="00863CCE">
        <w:rPr>
          <w:rFonts w:ascii="Keren" w:eastAsia="Times New Roman" w:hAnsi="Keren" w:cs="David"/>
          <w:szCs w:val="20"/>
          <w:rtl/>
          <w:lang w:eastAsia="he-IL"/>
          <w14:ligatures w14:val="none"/>
        </w:rPr>
        <w:t xml:space="preserve">ע"ע בהקדמת רבי עובדיה ספורנו לספר בראשית. ע"ע </w:t>
      </w:r>
      <w:r w:rsidRPr="00863CCE">
        <w:rPr>
          <w:rFonts w:ascii="Keren" w:eastAsia="Times New Roman" w:hAnsi="Keren" w:cs="David"/>
          <w:b/>
          <w:bCs/>
          <w:szCs w:val="20"/>
          <w:rtl/>
          <w:lang w:eastAsia="he-IL"/>
          <w14:ligatures w14:val="none"/>
        </w:rPr>
        <w:t>מיתה ואדם הראשון. מלאך המוות.</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DC7"/>
    <w:rsid w:val="00037DC7"/>
    <w:rsid w:val="000D0A23"/>
    <w:rsid w:val="002C121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D37A88-3638-4ECE-AA47-A860F9563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37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37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37D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37D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37D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7D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37D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7D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37D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37DC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37DC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37DC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37DC7"/>
    <w:rPr>
      <w:rFonts w:eastAsiaTheme="majorEastAsia" w:cstheme="majorBidi"/>
      <w:i/>
      <w:iCs/>
      <w:color w:val="0F4761" w:themeColor="accent1" w:themeShade="BF"/>
    </w:rPr>
  </w:style>
  <w:style w:type="character" w:customStyle="1" w:styleId="50">
    <w:name w:val="כותרת 5 תו"/>
    <w:basedOn w:val="a0"/>
    <w:link w:val="5"/>
    <w:uiPriority w:val="9"/>
    <w:semiHidden/>
    <w:rsid w:val="00037DC7"/>
    <w:rPr>
      <w:rFonts w:eastAsiaTheme="majorEastAsia" w:cstheme="majorBidi"/>
      <w:color w:val="0F4761" w:themeColor="accent1" w:themeShade="BF"/>
    </w:rPr>
  </w:style>
  <w:style w:type="character" w:customStyle="1" w:styleId="60">
    <w:name w:val="כותרת 6 תו"/>
    <w:basedOn w:val="a0"/>
    <w:link w:val="6"/>
    <w:uiPriority w:val="9"/>
    <w:semiHidden/>
    <w:rsid w:val="00037DC7"/>
    <w:rPr>
      <w:rFonts w:eastAsiaTheme="majorEastAsia" w:cstheme="majorBidi"/>
      <w:i/>
      <w:iCs/>
      <w:color w:val="595959" w:themeColor="text1" w:themeTint="A6"/>
    </w:rPr>
  </w:style>
  <w:style w:type="character" w:customStyle="1" w:styleId="70">
    <w:name w:val="כותרת 7 תו"/>
    <w:basedOn w:val="a0"/>
    <w:link w:val="7"/>
    <w:uiPriority w:val="9"/>
    <w:semiHidden/>
    <w:rsid w:val="00037DC7"/>
    <w:rPr>
      <w:rFonts w:eastAsiaTheme="majorEastAsia" w:cstheme="majorBidi"/>
      <w:color w:val="595959" w:themeColor="text1" w:themeTint="A6"/>
    </w:rPr>
  </w:style>
  <w:style w:type="character" w:customStyle="1" w:styleId="80">
    <w:name w:val="כותרת 8 תו"/>
    <w:basedOn w:val="a0"/>
    <w:link w:val="8"/>
    <w:uiPriority w:val="9"/>
    <w:semiHidden/>
    <w:rsid w:val="00037DC7"/>
    <w:rPr>
      <w:rFonts w:eastAsiaTheme="majorEastAsia" w:cstheme="majorBidi"/>
      <w:i/>
      <w:iCs/>
      <w:color w:val="272727" w:themeColor="text1" w:themeTint="D8"/>
    </w:rPr>
  </w:style>
  <w:style w:type="character" w:customStyle="1" w:styleId="90">
    <w:name w:val="כותרת 9 תו"/>
    <w:basedOn w:val="a0"/>
    <w:link w:val="9"/>
    <w:uiPriority w:val="9"/>
    <w:semiHidden/>
    <w:rsid w:val="00037DC7"/>
    <w:rPr>
      <w:rFonts w:eastAsiaTheme="majorEastAsia" w:cstheme="majorBidi"/>
      <w:color w:val="272727" w:themeColor="text1" w:themeTint="D8"/>
    </w:rPr>
  </w:style>
  <w:style w:type="paragraph" w:styleId="a3">
    <w:name w:val="Title"/>
    <w:basedOn w:val="a"/>
    <w:next w:val="a"/>
    <w:link w:val="a4"/>
    <w:uiPriority w:val="10"/>
    <w:qFormat/>
    <w:rsid w:val="00037D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37D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7DC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37DC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37DC7"/>
    <w:pPr>
      <w:spacing w:before="160"/>
      <w:jc w:val="center"/>
    </w:pPr>
    <w:rPr>
      <w:i/>
      <w:iCs/>
      <w:color w:val="404040" w:themeColor="text1" w:themeTint="BF"/>
    </w:rPr>
  </w:style>
  <w:style w:type="character" w:customStyle="1" w:styleId="a8">
    <w:name w:val="ציטוט תו"/>
    <w:basedOn w:val="a0"/>
    <w:link w:val="a7"/>
    <w:uiPriority w:val="29"/>
    <w:rsid w:val="00037DC7"/>
    <w:rPr>
      <w:i/>
      <w:iCs/>
      <w:color w:val="404040" w:themeColor="text1" w:themeTint="BF"/>
    </w:rPr>
  </w:style>
  <w:style w:type="paragraph" w:styleId="a9">
    <w:name w:val="List Paragraph"/>
    <w:basedOn w:val="a"/>
    <w:uiPriority w:val="34"/>
    <w:qFormat/>
    <w:rsid w:val="00037DC7"/>
    <w:pPr>
      <w:ind w:left="720"/>
      <w:contextualSpacing/>
    </w:pPr>
  </w:style>
  <w:style w:type="character" w:styleId="aa">
    <w:name w:val="Intense Emphasis"/>
    <w:basedOn w:val="a0"/>
    <w:uiPriority w:val="21"/>
    <w:qFormat/>
    <w:rsid w:val="00037DC7"/>
    <w:rPr>
      <w:i/>
      <w:iCs/>
      <w:color w:val="0F4761" w:themeColor="accent1" w:themeShade="BF"/>
    </w:rPr>
  </w:style>
  <w:style w:type="paragraph" w:styleId="ab">
    <w:name w:val="Intense Quote"/>
    <w:basedOn w:val="a"/>
    <w:next w:val="a"/>
    <w:link w:val="ac"/>
    <w:uiPriority w:val="30"/>
    <w:qFormat/>
    <w:rsid w:val="00037D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37DC7"/>
    <w:rPr>
      <w:i/>
      <w:iCs/>
      <w:color w:val="0F4761" w:themeColor="accent1" w:themeShade="BF"/>
    </w:rPr>
  </w:style>
  <w:style w:type="character" w:styleId="ad">
    <w:name w:val="Intense Reference"/>
    <w:basedOn w:val="a0"/>
    <w:uiPriority w:val="32"/>
    <w:qFormat/>
    <w:rsid w:val="00037D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403</Words>
  <Characters>2020</Characters>
  <Application>Microsoft Office Word</Application>
  <DocSecurity>0</DocSecurity>
  <Lines>16</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