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0B17" w14:textId="77777777" w:rsidR="006942DF" w:rsidRPr="006942DF" w:rsidRDefault="006942DF" w:rsidP="006942DF">
      <w:pPr>
        <w:autoSpaceDE w:val="0"/>
        <w:autoSpaceDN w:val="0"/>
        <w:adjustRightInd w:val="0"/>
        <w:spacing w:after="0" w:line="360" w:lineRule="auto"/>
        <w:ind w:left="360" w:right="-1080"/>
        <w:jc w:val="both"/>
        <w:outlineLvl w:val="0"/>
        <w:rPr>
          <w:rFonts w:ascii="Keren" w:eastAsia="Times New Roman" w:hAnsi="Keren" w:cs="Keren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Keren" w:hint="cs"/>
          <w:sz w:val="26"/>
          <w:szCs w:val="24"/>
          <w:rtl/>
          <w:lang w:eastAsia="he-IL"/>
          <w14:ligatures w14:val="none"/>
        </w:rPr>
        <w:t>מקורות:</w:t>
      </w:r>
    </w:p>
    <w:p w14:paraId="04194E6C" w14:textId="77777777" w:rsidR="006942DF" w:rsidRPr="006942DF" w:rsidRDefault="006942DF" w:rsidP="006942DF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אגרות משה - הרב משה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פיינשטיין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אגרות משה, ניו יורק תשי"ט – תשנ"ו.</w:t>
      </w:r>
      <w:r w:rsidRPr="006942DF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t xml:space="preserve"> </w:t>
      </w:r>
    </w:p>
    <w:p w14:paraId="59E2294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אוצר דינים ומנהגים – יהודה דוד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אייזענשטיין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אוצר דינים ומנהגים, (דפוס צילום) תל אביב תשל"ה.  </w:t>
      </w:r>
    </w:p>
    <w:p w14:paraId="54564A6E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אוצר המדרשים – יהודה דוד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אייזענשטיין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אוצר המדרשים, ניו יורק תרע"ה.</w:t>
      </w:r>
    </w:p>
    <w:p w14:paraId="0D723C4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אוצר טעמי המנהגים – שמואל פנחס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גלברד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אוצר טעמי המנהגים, פתח תקוה תשנ"ו.</w:t>
      </w:r>
    </w:p>
    <w:p w14:paraId="727FFD6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אוצרות התורה - הרב משה צוריאל, אוצרות התורה, בני ברק תשס"ה.</w:t>
      </w:r>
    </w:p>
    <w:p w14:paraId="3328874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אור החיים - רבי חיים בן עטר, פירוש לתורה, מובא במקראות גדולות.</w:t>
      </w:r>
    </w:p>
    <w:p w14:paraId="34DA46D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אור לאבל - שמואל גליק, אור לאבל - להתפתחותם של עיקרי מנהגי אבלות במסורת ישראל, ירושלים תשנ"א.</w:t>
      </w:r>
    </w:p>
    <w:p w14:paraId="34DCB21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אורות הקדש - הרב אברהם יצחק הכהן קוק, אורות הקדש,  ירושלים תשמ"ה. </w:t>
      </w: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</w:p>
    <w:p w14:paraId="11A8421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אנציקלופדיה הלכתית רפואית - אברהם שטיינברג, אנציקלופדיה הלכתית רפואית, ירושלים תשמ"ח</w:t>
      </w: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.</w:t>
      </w:r>
    </w:p>
    <w:p w14:paraId="7EFB64B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אנציקלופדיה תלמודית - הרב מאיר בר אילן, הרב שלמה יוסף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זוין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(עורכים), אנציקלופדיה תלמודית, ירושלים תש"ז – תשס"ד.</w:t>
      </w:r>
    </w:p>
    <w:p w14:paraId="0D5462F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ארבעה טורים – רבי יעקב בן אשר, ארבעה טורים, מוסדות שירת דבורה, מכון ירושלים תשנ"ג. </w:t>
      </w:r>
    </w:p>
    <w:p w14:paraId="7965F33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באר לחי רואי - הרב יוחאי עמר, באר לחי רואי, 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קרית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מלאכי תשס"א.</w:t>
      </w:r>
    </w:p>
    <w:p w14:paraId="572FD85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ביאור הלכה – ראה משנה ברורה.</w:t>
      </w:r>
    </w:p>
    <w:p w14:paraId="618AB81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בית חדש – רבי יואל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סירקיס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בית חדש, פירוש לספר ארבעה טורים.</w:t>
      </w:r>
    </w:p>
    <w:p w14:paraId="21C59005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בית יוסף – רבי יוסף קארו, בית יוסף, פירוש לספר ארבעה טורים. </w:t>
      </w:r>
    </w:p>
    <w:p w14:paraId="3332C9B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במראה הבזק - שו"ת במראה הבזק - תשובות לשאלות שנשלחו על ידי רבני התפוצות לרב שאול ישראלי, נשיא "ארץ חמדה", ירושלים תשנ"א – תשס"ד. </w:t>
      </w:r>
    </w:p>
    <w:p w14:paraId="3E721AC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בן איש חי - הרב יוסף חיים מבגדד, בן איש חי, מהדורת הרב נסים בן עוזיאל,  ירושלים תרצ"ב. </w:t>
      </w:r>
    </w:p>
    <w:p w14:paraId="3A7AD45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גשר החיים - הרב יחיאל מיכל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טוקצינסקי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גשר החיים, ירושלים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תש"ך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.</w:t>
      </w:r>
    </w:p>
    <w:p w14:paraId="1531958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דברי אהרן - הרב אהרן הלוי גולדמן, שאלות ותשובות דברי אהרן, ירושלים תשמ"א.</w:t>
      </w:r>
    </w:p>
    <w:p w14:paraId="2A4145A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דעת כהן - הרב אברהם יצחק הכהן קוק, דעת כהן – תשובות בהלכות שלחן ערוך יורה דעה, ירושלים תשנ"ג. </w:t>
      </w:r>
    </w:p>
    <w:p w14:paraId="251A4F65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דעת תבונות – רבי משה חיים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לוצאטו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דעת תבונות, בני ברק תשמ"ט.</w:t>
      </w:r>
    </w:p>
    <w:p w14:paraId="7D6497D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דרכה של היהדות במוות ובאבלות - הרב משה לאם, דרכה של היהדות במוות ובאבלות, ירושלים 2005.</w:t>
      </w:r>
    </w:p>
    <w:p w14:paraId="17226EF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דרכי הלכה - הרב מנחם עמי רוטנברג, דרכי הלכה - הלכות אבלות, ירושלים תשנ"ה. </w:t>
      </w:r>
    </w:p>
    <w:p w14:paraId="1F07115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דרכי טהרה - הרב מרדכי אליהו, דרכי טהרה – הלכות נידה וטהרה, ירושלים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תשד"ם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.</w:t>
      </w:r>
    </w:p>
    <w:p w14:paraId="6D31A8E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הכוזרי - רבי יהודה הלוי, ספר הכוזרי, מהדורת יהודה אבן שמואל, תל אביב תשל"ג.</w:t>
      </w:r>
      <w:r w:rsidRPr="006942DF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 xml:space="preserve"> </w:t>
      </w:r>
    </w:p>
    <w:p w14:paraId="252A4FE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הלכה סדורה - גלעד גרוס, הלכה סדורה - הלכות אבלות – שאלות ותשובות מורחבות בענייני אבלות, מעלה אדומים תשנ"ט.</w:t>
      </w:r>
    </w:p>
    <w:p w14:paraId="63485FF4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הליכות תימן - הרב יוסף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קאפח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הליכות תימן – חיי היהודים בצנעה ובנותיה, ירושלים תשס"ב.</w:t>
      </w:r>
    </w:p>
    <w:p w14:paraId="6A960A5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הלכות יום העצמאות ויום ירושלים - נחום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רקובר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, הלכות יום העצמאות ויום ירושלים, ירושלים תשמ"ה. </w:t>
      </w:r>
    </w:p>
    <w:p w14:paraId="1917079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lastRenderedPageBreak/>
        <w:t xml:space="preserve">הלכות אבלות - יצחק צבי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אושינסקי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הלכות אבלות, ירושלים תשס"ב. </w:t>
      </w:r>
    </w:p>
    <w:p w14:paraId="238A115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הנבחר באמונות ובדעות - רב סעדיה גאון, הנבחר באמונות ובדעות, מהדורת הרב יוסף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קאפח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ירושלים תשנ"ג.</w:t>
      </w:r>
    </w:p>
    <w:p w14:paraId="02C8951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הסידור והתפילה - הרב עדין אבן ישראל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שטיינזלץ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הסידור והתפילה, תל אביב תשנ"ד.</w:t>
      </w:r>
    </w:p>
    <w:p w14:paraId="640B922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הקדיש - מקורו, משמעותו ודיניו - הרב דוד אסף, הקדיש מקורו, משמעותו ודיניו, חיפה תשכ"ו.</w:t>
      </w:r>
    </w:p>
    <w:p w14:paraId="2AF3C2D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הקדמות הרמב"ם למשנה - הרב יצחק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שילת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(מהדיר), הקדמות הרמב"ם למשנה, מעלה אדומים, תשנ"ב. </w:t>
      </w:r>
    </w:p>
    <w:p w14:paraId="64873BB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הקונטרס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היחיאלי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- הרב יצחק אלפייה, הקונטרס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היחיאלי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ירושלים תשנ"ד. </w:t>
      </w:r>
    </w:p>
    <w:p w14:paraId="330B253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השטן שבינינו - נחי אלון וחיים עומר, השטן שבינינו, ספרים, הוצאה לאור, 2005.</w:t>
      </w:r>
    </w:p>
    <w:p w14:paraId="4D9E7B6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זוהר - זוהר עם פירוש הסולם לרבי יהודה ליב אשלג, ירושלים תשמ"ט.</w:t>
      </w:r>
    </w:p>
    <w:p w14:paraId="53F00304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זכרון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לברכה - שאול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מייזליש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זכרון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לברכה - מנהגי פטירה ואבלות במסורת ישראל, תל אביב 1987.</w:t>
      </w:r>
    </w:p>
    <w:p w14:paraId="39B094E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חזון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איש - הרב אברהם ישעיהו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קרליץ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חזון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איש</w:t>
      </w: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חלק יורה דעה</w:t>
      </w: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בני ברק תשנ"א.</w:t>
      </w: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</w:p>
    <w:p w14:paraId="464E5E8E" w14:textId="77777777" w:rsidR="006942DF" w:rsidRPr="006942DF" w:rsidRDefault="006942DF" w:rsidP="006942DF">
      <w:pPr>
        <w:spacing w:after="0" w:line="360" w:lineRule="auto"/>
        <w:ind w:firstLine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חזון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למועד – הרב חנוך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זונדל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גרוסברג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,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חזון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למועד (הלכות שמחות), ירושלים תשל"ה. </w:t>
      </w:r>
    </w:p>
    <w:p w14:paraId="478E3D3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חיים וחסד - הרב שמואל פנחסי, חיים וחסד - הלכות שמחות, ירושלים תשס"א.</w:t>
      </w:r>
    </w:p>
    <w:p w14:paraId="36D003D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חכמת אדם - הרב אברהם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דאנציג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חכמת אדם, ירושלים תשנ"ו.</w:t>
      </w:r>
    </w:p>
    <w:p w14:paraId="6530D95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חתם סופר - הרב משה סופר, חתם סופר - שאלות ותשובות, ירושלים תשל"ב.</w:t>
      </w:r>
    </w:p>
    <w:p w14:paraId="1E0E2D28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טהרת שדה המכפלה - הרב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עידוא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אלבה, טהרת שדה המכפלה - בירור בדיני קברים טומאתם וטהרתם,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קרית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ארבע חברון תשס"ב. </w:t>
      </w:r>
    </w:p>
    <w:p w14:paraId="20E70F8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טורי זהב – רבי דוד הלוי, טורי זהב (ט"ז), פירוש לשלחן ערוך. </w:t>
      </w:r>
    </w:p>
    <w:p w14:paraId="5B4A95A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טל לברכה - הרב רמי רחמים ברכיהו, טל לברכה, ירושלים  תשנ"ט.</w:t>
      </w:r>
    </w:p>
    <w:p w14:paraId="575B7CE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טעמי המנהגים ומקורי הדינים - הרב אברהם יצחק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שפרלינג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טעמי המנהגים ומקורי הדינים, ירושלים תשמ"ב. </w:t>
      </w:r>
    </w:p>
    <w:p w14:paraId="6BD2CECE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יביע אומר - הרב עובדיה יוסף, יביע אומר – שאלות ותשובות, ירושלים תשמ"ו – תשס"ב.</w:t>
      </w:r>
    </w:p>
    <w:p w14:paraId="1154937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יד אפרים - הרב אפרים זלמן מרגליות, יד אפרים - חידושים ובאורים על שלחן ערוך יורה דעה, נדפס בסוף שלחן ערוך יורה דעה.</w:t>
      </w:r>
    </w:p>
    <w:p w14:paraId="74AA4C5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יהדות הלכה למעשה - הרב ישראל מאיר לאו, יהדות הלכה למעשה, כתב וערך שאול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מייזליש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גבעתיים 1978.</w:t>
      </w:r>
    </w:p>
    <w:p w14:paraId="443EA494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ילקוט החיים והשלום - הרב אליהו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עטייה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והרב מרדכי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עטייה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ילקוט החיים והשלום, ירושלים תשמ"ח.</w:t>
      </w:r>
    </w:p>
    <w:p w14:paraId="323CA3F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18"/>
          <w:szCs w:val="20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ילקוט יוסף - הרב יצחק יוסף, ילקוט יוסף – הלכות ביקור חולים ואבלות, נערך על פי פסקי הרב עובדיה יוסף, ירושלים תשס"ד. </w:t>
      </w:r>
      <w:r w:rsidRPr="006942DF">
        <w:rPr>
          <w:rFonts w:ascii="Keren" w:eastAsia="Times New Roman" w:hAnsi="Keren" w:cs="David"/>
          <w:sz w:val="18"/>
          <w:szCs w:val="20"/>
          <w:rtl/>
          <w:lang w:eastAsia="he-IL"/>
          <w14:ligatures w14:val="none"/>
        </w:rPr>
        <w:t>ההפניות בספר הן בדרך כלל לחלק זה אלא אם כן צוין אחרת.</w:t>
      </w:r>
    </w:p>
    <w:p w14:paraId="5B6C4C7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יסודות התפילה - אליעזר לוי, יסודות התפילה, תל אביב תש"ז.</w:t>
      </w:r>
    </w:p>
    <w:p w14:paraId="64BF7C5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יסודי הלכה - הרב שמואל דביר, יסודי הלכה - הלכות אבלות, כרמי צור תשנ"ה.</w:t>
      </w:r>
    </w:p>
    <w:p w14:paraId="21117457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כבוד אחרון – הרב אחיה אמיתי וחגי גרוס, כבוד אחרון, חוברת עזר והדרכה למשפחה האבלה, עמותת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צהר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– חלון בין עולמות, תל אביב תשס"ג.</w:t>
      </w:r>
    </w:p>
    <w:p w14:paraId="35A8EE9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כל בו על אבלות - הרב יקותיאל יהודה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גרינוואלד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כל בו על אבלות, ניו יורק תש"ז.</w:t>
      </w:r>
    </w:p>
    <w:p w14:paraId="2CD51D0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Cs w:val="20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lastRenderedPageBreak/>
        <w:t>כף החיים - הרב יעקב חיים סופר, כף החיים - פירוש על שלחן ערוך אורח חיים וחלק מיורה דעה, ירושלים תרפ"ט.</w:t>
      </w:r>
    </w:p>
    <w:p w14:paraId="06C73BA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4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4"/>
          <w:szCs w:val="24"/>
          <w:rtl/>
          <w:lang w:eastAsia="he-IL"/>
          <w14:ligatures w14:val="none"/>
        </w:rPr>
        <w:t xml:space="preserve">מגן אברהם – הרב אברהם אבלי </w:t>
      </w:r>
      <w:proofErr w:type="spellStart"/>
      <w:r w:rsidRPr="006942DF">
        <w:rPr>
          <w:rFonts w:ascii="Keren" w:eastAsia="Times New Roman" w:hAnsi="Keren" w:cs="David"/>
          <w:sz w:val="24"/>
          <w:szCs w:val="24"/>
          <w:rtl/>
          <w:lang w:eastAsia="he-IL"/>
          <w14:ligatures w14:val="none"/>
        </w:rPr>
        <w:t>גומבינר</w:t>
      </w:r>
      <w:proofErr w:type="spellEnd"/>
      <w:r w:rsidRPr="006942DF">
        <w:rPr>
          <w:rFonts w:ascii="Keren" w:eastAsia="Times New Roman" w:hAnsi="Keren" w:cs="David"/>
          <w:sz w:val="24"/>
          <w:szCs w:val="24"/>
          <w:rtl/>
          <w:lang w:eastAsia="he-IL"/>
          <w14:ligatures w14:val="none"/>
        </w:rPr>
        <w:t xml:space="preserve">, מגן אברהם, ביאור לשלחן ערוך אורח חיים. </w:t>
      </w:r>
    </w:p>
    <w:p w14:paraId="24496D8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מדריך לתלמוד - הרב עדין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שטיינזלץ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מדריך לתלמוד, ירושלים 1992.</w:t>
      </w:r>
    </w:p>
    <w:p w14:paraId="2FFAF24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מדרש רבה – ירושלים, דפוס צילום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וילנא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תרל"ח.</w:t>
      </w:r>
    </w:p>
    <w:p w14:paraId="492CCC9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מדרש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תנחומא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– מדרש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תנחומא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ירושלים תשי"ח, מהדורת צילום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ורשא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תרל"ה.</w:t>
      </w:r>
    </w:p>
    <w:p w14:paraId="56B22F1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מוסר אביך - הרב אברהם יצחק הכהן קוק, מוסר אביך, ירושלים תשל"ג.</w:t>
      </w:r>
    </w:p>
    <w:p w14:paraId="0CC5B54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מועד לכל חי - הרב אליהו ביטון, מועד לכל חי – אוצר דינים ומנהגים בענייני ביקור חולים ואבלות,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ביריה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תש"ס. </w:t>
      </w:r>
    </w:p>
    <w:p w14:paraId="17C89E3E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מורה הנבוכים - רמב"ם, מורה הנבוכים, מהדורת הרב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קאפח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ירושלים תשנ"ד.</w:t>
      </w:r>
    </w:p>
    <w:p w14:paraId="066B798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מחזור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ויטרי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– ש' הורוביץ מהדיר, מחזור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ויטרי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נירנברג תרפ"ג.</w:t>
      </w:r>
    </w:p>
    <w:p w14:paraId="6421208E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מנחם אבלים - הרב מנחם בן שמעון מרדכי, מנחם אבלים – הלכות אבלות, ניו יורק תשל"ח. </w:t>
      </w:r>
    </w:p>
    <w:p w14:paraId="65EAC77E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מנחת יצחק  - הרב יצחק יעקב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וויס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מנחת יצחק – שאלות ותשובות, ירושלים תשנ"ג.</w:t>
      </w:r>
    </w:p>
    <w:p w14:paraId="7AF419C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מנחת שלמה - הרב שלמה זלמן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אויערבך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מנחת שלמה, ירושלים תש"ס.</w:t>
      </w:r>
    </w:p>
    <w:p w14:paraId="018E659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מעבר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יַבֹּק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- הרב אהרן ברכיה בן הרב משה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ממודינה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מעבר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יַבֹּק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בני ברק תשכ"ז.</w:t>
      </w:r>
    </w:p>
    <w:p w14:paraId="4EDC8B4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מקראי קודש - הרב משה הררי, מקראי קודש – הלכות פורים, ירושלים תשנ"ד. </w:t>
      </w:r>
    </w:p>
    <w:p w14:paraId="7DD8F85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משיב מלחמה - הרב שלמה גורן, משיב מלחמה - שאלות ותשובות בענייני צבא, מלחמה ובטחון, ירושלים תשנ"ד.</w:t>
      </w:r>
    </w:p>
    <w:p w14:paraId="07BB1D9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משך חכמה - הרב מאיר שמחה הכהן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מדווינסק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משך חכמה, מהדורת הרב יהודה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קופרמן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ירושלים תשנ"ב.</w:t>
      </w:r>
    </w:p>
    <w:p w14:paraId="306AB52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משנה ברורה – הרב ישראל מאיר הכהן ("החפץ חיים"), משנה ברורה, פירוש לשלחן ערוך אורח חיים, כולל פירוש נוסף בשם "ביאור הלכה" וציון מקורות בשם "שער הציון".</w:t>
      </w:r>
    </w:p>
    <w:p w14:paraId="08B51CE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משנה תורה – רבי משה בן מימון (הרמב"ם), משנה תורה.</w:t>
      </w:r>
    </w:p>
    <w:p w14:paraId="27216038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משנה – ששה סדרי משנה.</w:t>
      </w:r>
    </w:p>
    <w:p w14:paraId="46750994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נודע ביהודה - הרב יחזקאל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סג"ל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לנדא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נודע ביהודה – שאלות ותשובות, ירושלים תשס"ג.</w:t>
      </w:r>
      <w:r w:rsidRPr="006942DF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</w:t>
      </w:r>
    </w:p>
    <w:p w14:paraId="12FD465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נטעי גבריאל - הרב גבריאל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ציננער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נטעי גבריאל – הלכות אבלות, ירושלים תש"ס.</w:t>
      </w:r>
    </w:p>
    <w:p w14:paraId="197F32D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נשמת אברהם – הרב אברהם סופר אברהם, נשמת אברהם - הלכות חולים רופאים ורפואה  ירושלים תשנ"ג.</w:t>
      </w:r>
    </w:p>
    <w:p w14:paraId="3FCE62C2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נתיבות עולם - רבי יהודה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ליוואי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בן רבי בצלאל (מהר"ל), נתיבות עולם, בני ברק תש"מ.</w:t>
      </w:r>
    </w:p>
    <w:p w14:paraId="6BAF8198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סדר לוויה ואזכרה - הרב יעקב גרוס, סדר לוויה ואזכרה - רבנות משטרת ישראל, ירושלים, תש"ס. </w:t>
      </w:r>
    </w:p>
    <w:p w14:paraId="470B8B3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ספר החינוך - הרב אהרן הלוי, ספר החינוך, ירושלים, תשי"ח.</w:t>
      </w:r>
    </w:p>
    <w:p w14:paraId="20E9C07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ספרא דבי רב הנקרא גם תורת כהנים, ירושלים תשי"ט. </w:t>
      </w:r>
    </w:p>
    <w:p w14:paraId="42884647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עולת ראיה - הרב אברהם יצחק הכהן קוק, עולת ראיה – סדר תפלה עם פירוש, ירושלים תשכ"ג.</w:t>
      </w:r>
    </w:p>
    <w:p w14:paraId="00FCF77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עין איה - הרב אברהם יצחק הכהן קוק, עין איה, ירושלים תשמ"ז – תש"ס. </w:t>
      </w:r>
    </w:p>
    <w:p w14:paraId="03AEA318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על התשובה - הרב יוסף דוב הלוי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סולוביצ'יק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על התשובה (בעריכת פנחס הכהן פלאי), ירושלים תשל"ט.</w:t>
      </w:r>
    </w:p>
    <w:p w14:paraId="5DB383C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עמק חברון - נעם ארנון, עמק חברון – מערת המכפלה וזכות אבות במדרשי חז"ל, חברון תשנ"ו.</w:t>
      </w:r>
    </w:p>
    <w:p w14:paraId="4AD3F14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lastRenderedPageBreak/>
        <w:t xml:space="preserve">עץ חיים – רבי חיים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ויטאל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עץ חיים. ירושלים, תר"ע.</w:t>
      </w:r>
    </w:p>
    <w:p w14:paraId="3FDCD67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ערוך השלחן - הרב יחיאל מיכל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עפשטיין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ערוך השלחן, ירושלים תשמ"ז.</w:t>
      </w:r>
    </w:p>
    <w:p w14:paraId="161B5AC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עשרה מאמרות - הרב מנחם עזריה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מפאנו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עשרה מאמרות, ירושלים תשמ"ח. </w:t>
      </w:r>
    </w:p>
    <w:p w14:paraId="327596A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פני ברוך - הרב חיים בנימין גולדברג, פני ברוך – אבלות בהלכה, ירושלים תשמ"ו.</w:t>
      </w:r>
    </w:p>
    <w:p w14:paraId="6422284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פניני הלכה - הרב אליעזר מלמד, פניני הלכה, תל אביב - הר ברכה, תשנ"ג – תשס"ה.</w:t>
      </w:r>
    </w:p>
    <w:p w14:paraId="0D7076A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פסקי תשובות - הרב שמחה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ב"צ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א'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רבינוביץ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, פסקי תשובות – ליקוט מספרי שו"ת וספרי הלכה, על סדר שלחן ערוך אורח חיים ומשנה ברורה, ירושלים תשנ"ז.</w:t>
      </w:r>
    </w:p>
    <w:p w14:paraId="2E83A68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פסקים וכתבים - הרב יצחק אייזיק הלוי הרצוג, פסקים וכתבים, ירושלים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תש"ן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. </w:t>
      </w:r>
    </w:p>
    <w:p w14:paraId="0B97563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פרקי דרבי אליעזר – מהדורת מ' היגר, ניו יורק תש"ד.</w:t>
      </w:r>
    </w:p>
    <w:p w14:paraId="47D2598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פתחי תשובה - הרב אברהם צבי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איזנשטט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פסקי תשובה, נדפס בתוך מהדורות שלחן ערוך.</w:t>
      </w:r>
    </w:p>
    <w:p w14:paraId="6BC1BE6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ציץ אליעזר - הרב אליעזר יהודה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וולדינברג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שאלות ותשובות ציץ אליעזר, ירושלים תשמ"ה. </w:t>
      </w:r>
    </w:p>
    <w:p w14:paraId="02B242E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צרור החיים - צרור החיים – פסקי הרב מרדכי אליהו בהלכות אבלות, (הרב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מישאל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רובין עורך), 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קרית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ארבע חברון, תשס"ג.</w:t>
      </w:r>
    </w:p>
    <w:p w14:paraId="0BBD1E24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קבורה ואבלות - הרב שאול פרבר, שלומית טור פז, קבורה ואבלות – חוברת הדרכה, ירושלים תשס"ג.</w:t>
      </w:r>
    </w:p>
    <w:p w14:paraId="713A017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קול אליהו - סידור על פי נוסח האר"י על פי פסקי הרב מרדכי אליהו, ירושלים תשנ"ז.  </w:t>
      </w:r>
    </w:p>
    <w:p w14:paraId="59579135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קוראי שמו - הרב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מישאל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רובין, קוראי שמו – הלכות ומנהגים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בעניני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שמות וקריאתם, חברון תשס"ב. </w:t>
      </w:r>
    </w:p>
    <w:p w14:paraId="0F6A7E8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קיצור שלחן ערוך - הרב שלמה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גאנצפריד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קיצור שלחן ערוך, מהדורת הרב שריה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דבליצקי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בני ברק תשל"ח.</w:t>
      </w:r>
    </w:p>
    <w:p w14:paraId="0385374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קץ החיים - ניסן רובין, קץ החיים – טקסי קבורה ואבל במקורות חז"ל, תל אביב  1997.</w:t>
      </w:r>
    </w:p>
    <w:p w14:paraId="28A6225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רמ"א – רבי משה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איסרליש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הגהות על ארבעת חלקי שלחן ערוך, משולבות בתוך נוסח שלחן ערוך. </w:t>
      </w:r>
    </w:p>
    <w:p w14:paraId="087F4583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רמב"ם – רבי משה בן מימון, ראה משנה תורה.</w:t>
      </w:r>
    </w:p>
    <w:p w14:paraId="159A5C07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רמב"ן – רבי משה בן נחמן, פירושי התורה, מהדורת הרב חיים דב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שעוועל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ירושלים תשי"ט. </w:t>
      </w:r>
    </w:p>
    <w:p w14:paraId="5DC93D2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רש"י – רבי שלמה יצחקי, פירוש לתורה, מהדורת הרב חיים דב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שעוועל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ירושלים תשמ"ג.</w:t>
      </w:r>
    </w:p>
    <w:p w14:paraId="0C3CCFE0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רש"י – פירוש לתלמוד, המובאות מדפוס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וילנא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וצילומיו.</w:t>
      </w:r>
      <w:r w:rsidRPr="006942DF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</w:t>
      </w:r>
    </w:p>
    <w:p w14:paraId="13FF86C4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שאילת שלמה - הרב שלמה אבינר, שאלות ותשובות שאילת שלמה, בית אל תשס"א.</w:t>
      </w:r>
    </w:p>
    <w:p w14:paraId="4CE1BE21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שדי חמד - הרב חזקיהו מדיני, שדי חמד, ניו יורק תשכ"ב-תשכ"ג. </w:t>
      </w:r>
    </w:p>
    <w:p w14:paraId="0B47E949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שונה הלכות - הרב חיים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קניבסקי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והרב אלעזר צדוק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טורצין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, שונה הלכות, בני ברק תשס"ב.</w:t>
      </w:r>
    </w:p>
    <w:p w14:paraId="60CD3B35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שיח מנחמים - מרדכי יצהרי, שיח מנחמים - הלכות אבלות על פי מנהגי תימן, תשנ"ו 1996.</w:t>
      </w:r>
    </w:p>
    <w:p w14:paraId="3C65481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שלחן ערוך – רבי יוסף קארו, שלחן ערוך.</w:t>
      </w:r>
    </w:p>
    <w:p w14:paraId="148C043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שלחן ערוך המקוצר - עיני יצחק, הרב יצחק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רצאבי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, שלחן ערוך המקוצר – עיני יצחק, הלכות פסוקות על פי מנהגי כל קהילות קודש תימן, בני ברק תש"ס. </w:t>
      </w:r>
    </w:p>
    <w:p w14:paraId="5A8A3B45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שמירת שבת כהלכתה - הרב יהושע ישעיה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נויבירט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, שמירת שבת כהלכתה, ירושלים תשמ"ח. </w:t>
      </w:r>
    </w:p>
    <w:p w14:paraId="0410B3FD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שערי צדק - תשובות הגאונים - שערי צדק, ירושלים תשכ"ו.</w:t>
      </w:r>
    </w:p>
    <w:p w14:paraId="0FD5B64C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שפת אמת - הרב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יהודא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אריה ליב מגור, שפת אמת, המכון התורני ישיבת אור עציון תש"ס – תשס"ב.</w:t>
      </w:r>
    </w:p>
    <w:p w14:paraId="14BF3CB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4"/>
          <w:szCs w:val="20"/>
          <w:lang w:eastAsia="he-IL"/>
          <w14:ligatures w14:val="none"/>
        </w:rPr>
      </w:pPr>
      <w:r w:rsidRPr="006942DF">
        <w:rPr>
          <w:rFonts w:ascii="Times New Roman" w:eastAsia="Times New Roman" w:hAnsi="Times New Roman" w:cs="David"/>
          <w:sz w:val="28"/>
          <w:szCs w:val="24"/>
          <w:rtl/>
          <w:lang w:eastAsia="he-IL"/>
          <w14:ligatures w14:val="none"/>
        </w:rPr>
        <w:lastRenderedPageBreak/>
        <w:t xml:space="preserve">שפתי כהן - הרב שבתי </w:t>
      </w:r>
      <w:proofErr w:type="spellStart"/>
      <w:r w:rsidRPr="006942DF">
        <w:rPr>
          <w:rFonts w:ascii="Times New Roman" w:eastAsia="Times New Roman" w:hAnsi="Times New Roman" w:cs="David"/>
          <w:sz w:val="28"/>
          <w:szCs w:val="24"/>
          <w:rtl/>
          <w:lang w:eastAsia="he-IL"/>
          <w14:ligatures w14:val="none"/>
        </w:rPr>
        <w:t>ב"ר</w:t>
      </w:r>
      <w:proofErr w:type="spellEnd"/>
      <w:r w:rsidRPr="006942DF">
        <w:rPr>
          <w:rFonts w:ascii="Times New Roman" w:eastAsia="Times New Roman" w:hAnsi="Times New Roman" w:cs="David"/>
          <w:sz w:val="28"/>
          <w:szCs w:val="24"/>
          <w:rtl/>
          <w:lang w:eastAsia="he-IL"/>
          <w14:ligatures w14:val="none"/>
        </w:rPr>
        <w:t xml:space="preserve"> מאיר הכהן, שפתי כהן (</w:t>
      </w:r>
      <w:proofErr w:type="spellStart"/>
      <w:r w:rsidRPr="006942DF">
        <w:rPr>
          <w:rFonts w:ascii="Times New Roman" w:eastAsia="Times New Roman" w:hAnsi="Times New Roman" w:cs="David"/>
          <w:sz w:val="28"/>
          <w:szCs w:val="24"/>
          <w:rtl/>
          <w:lang w:eastAsia="he-IL"/>
          <w14:ligatures w14:val="none"/>
        </w:rPr>
        <w:t>ש"ך</w:t>
      </w:r>
      <w:proofErr w:type="spellEnd"/>
      <w:r w:rsidRPr="006942DF">
        <w:rPr>
          <w:rFonts w:ascii="Times New Roman" w:eastAsia="Times New Roman" w:hAnsi="Times New Roman" w:cs="David"/>
          <w:sz w:val="28"/>
          <w:szCs w:val="24"/>
          <w:rtl/>
          <w:lang w:eastAsia="he-IL"/>
          <w14:ligatures w14:val="none"/>
        </w:rPr>
        <w:t xml:space="preserve">), ביאורים והוספות על שלחן ערוך יורה דעה וחושן משפט. נדפס במהדורות הרגילות של שלחן ערוך. </w:t>
      </w:r>
    </w:p>
    <w:p w14:paraId="0789917A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4"/>
          <w:szCs w:val="20"/>
          <w:lang w:eastAsia="he-IL"/>
          <w14:ligatures w14:val="none"/>
        </w:rPr>
      </w:pPr>
      <w:r w:rsidRPr="006942DF">
        <w:rPr>
          <w:rFonts w:ascii="Times New Roman" w:eastAsia="Times New Roman" w:hAnsi="Times New Roman" w:cs="David"/>
          <w:sz w:val="28"/>
          <w:szCs w:val="24"/>
          <w:rtl/>
          <w:lang w:eastAsia="he-IL"/>
          <w14:ligatures w14:val="none"/>
        </w:rPr>
        <w:t xml:space="preserve">תוספות יום טוב – רבי יום טוב ליפמן הלר, פירוש לששה סדרי משנה. </w:t>
      </w:r>
    </w:p>
    <w:p w14:paraId="439EA9F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4"/>
          <w:szCs w:val="20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תורה שלמה – הרב כשר, </w:t>
      </w:r>
      <w:r w:rsidRPr="006942DF">
        <w:rPr>
          <w:rFonts w:ascii="Keren" w:eastAsia="Times New Roman" w:hAnsi="Keren" w:cs="David"/>
          <w:sz w:val="24"/>
          <w:szCs w:val="24"/>
          <w:rtl/>
          <w:lang w:eastAsia="he-IL"/>
          <w14:ligatures w14:val="none"/>
        </w:rPr>
        <w:t>תורה שלמה,</w:t>
      </w:r>
      <w:r w:rsidRPr="006942DF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 xml:space="preserve">  </w:t>
      </w: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מכון תורה שלמה, ירושלים תרפ"ז – תשנ"א. </w:t>
      </w:r>
    </w:p>
    <w:p w14:paraId="38EC69B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6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תורת האדם - רבי משה בן נחמן, תורת האדם – הלכות חולים ואבלות, בתוך: כתבי רמב"ן, ירושלים תשכ"ד. </w:t>
      </w:r>
    </w:p>
    <w:p w14:paraId="60A04F4B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תחומין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- תורה חברה ומדינה, קובץ הלכתי, </w:t>
      </w:r>
      <w:proofErr w:type="spellStart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יב</w:t>
      </w:r>
      <w:proofErr w:type="spellEnd"/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, אלון שבות תשנ"א. </w:t>
      </w:r>
    </w:p>
    <w:p w14:paraId="010EEAD5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תלמוד בבלי – על פי דפוס </w:t>
      </w:r>
      <w:proofErr w:type="spellStart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וילנא</w:t>
      </w:r>
      <w:proofErr w:type="spellEnd"/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וצילומיו.</w:t>
      </w:r>
    </w:p>
    <w:p w14:paraId="3453A726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תלמוד ירושלמי – על פי דפוס ונציה רפ"ג וצילומיו.</w:t>
      </w:r>
    </w:p>
    <w:p w14:paraId="0840385F" w14:textId="77777777" w:rsidR="006942DF" w:rsidRPr="006942DF" w:rsidRDefault="006942DF" w:rsidP="006942DF">
      <w:pPr>
        <w:spacing w:after="0" w:line="360" w:lineRule="auto"/>
        <w:ind w:left="360"/>
        <w:jc w:val="both"/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</w:pPr>
      <w:r w:rsidRPr="006942DF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תפילות ומנהגי גחש"א – הרב אברהם חיים שאג וישראל בר זכאי, תפילות ומנהגי גחש"א (גמילות חסד של אמת) לפי מנהגי ירושלים, חברה קדישא קהלת ירושלים, ירושלים תשכ"א.</w:t>
      </w:r>
    </w:p>
    <w:p w14:paraId="22BF5224" w14:textId="77777777" w:rsidR="006942DF" w:rsidRPr="006942DF" w:rsidRDefault="006942DF" w:rsidP="006942D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David" w:hint="cs"/>
          <w:sz w:val="20"/>
          <w:szCs w:val="24"/>
          <w:lang w:eastAsia="he-IL"/>
          <w14:ligatures w14:val="none"/>
        </w:rPr>
      </w:pPr>
      <w:r w:rsidRPr="006942DF">
        <w:rPr>
          <w:rFonts w:ascii="Times New Roman" w:eastAsia="Times New Roman" w:hAnsi="Times New Roman" w:cs="David"/>
          <w:color w:val="000000"/>
          <w:sz w:val="20"/>
          <w:szCs w:val="28"/>
          <w:rtl/>
          <w:lang w:eastAsia="he-IL"/>
          <w14:ligatures w14:val="none"/>
        </w:rPr>
        <w:t xml:space="preserve"> </w:t>
      </w:r>
    </w:p>
    <w:p w14:paraId="20BF0510" w14:textId="77777777" w:rsidR="006942DF" w:rsidRPr="006942DF" w:rsidRDefault="006942DF" w:rsidP="006942DF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</w:pPr>
    </w:p>
    <w:p w14:paraId="5B31E7B4" w14:textId="77777777" w:rsidR="006942DF" w:rsidRPr="006942DF" w:rsidRDefault="006942DF" w:rsidP="006942DF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</w:pP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תניא רבי מאיר אומר "</w:t>
      </w:r>
      <w:r w:rsidRPr="006942DF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 xml:space="preserve">טוֹב לָלֶכֶת אֶל בֵּית אֵבֶל מִלֶּכֶת אֶל בֵּית מִשְׁתֶּה בַּאֲשֶׁר הוּא סוֹף כָּל הָאָדָם וְהַחַי </w:t>
      </w:r>
      <w:proofErr w:type="spellStart"/>
      <w:r w:rsidRPr="006942DF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יִתֵּן</w:t>
      </w:r>
      <w:proofErr w:type="spellEnd"/>
      <w:r w:rsidRPr="006942DF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 xml:space="preserve"> אֶל לִבּוֹ</w:t>
      </w: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" דברים של מיתה.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דיספד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יספדוניה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,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דיקבר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יקברוניה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,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דיטען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יטענוניה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,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דידלי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ידלוניה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. </w:t>
      </w:r>
    </w:p>
    <w:p w14:paraId="2492BF05" w14:textId="77777777" w:rsidR="006942DF" w:rsidRPr="006942DF" w:rsidRDefault="006942DF" w:rsidP="006942DF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Times New Roman" w:hAnsi="Times New Roman" w:cs="David"/>
          <w:sz w:val="18"/>
          <w:szCs w:val="20"/>
          <w:rtl/>
          <w:lang w:eastAsia="he-IL"/>
          <w14:ligatures w14:val="none"/>
        </w:rPr>
      </w:pP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היה ר' מאיר אומר גדול הוא השלום שלא ברא הקב"ה מידה יפה מן השלום שניתנה לצדיקים, שבשעה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שנפטרין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מן העולם שלֹש כתות של מלאכי השרת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מקדימין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אותן בשלום, הראשונה אומרת </w:t>
      </w:r>
      <w:r w:rsidRPr="006942DF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יָבוֹא שָׁלוֹם</w:t>
      </w: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, שנייה אומרת </w:t>
      </w:r>
      <w:r w:rsidRPr="006942DF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 xml:space="preserve">יָנוּחוּ עַל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מִשְׁכְּבוֹתָם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, והשלישית אומרת </w:t>
      </w:r>
      <w:r w:rsidRPr="006942DF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הֹלֵךְ נְכֹחוֹ</w:t>
      </w: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, ולא דיין לצדיקים שמיתתן בידי כבוד שנאמר כבוד ה'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יאספך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אלא </w:t>
      </w:r>
      <w:proofErr w:type="spellStart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שמקלסין</w:t>
      </w:r>
      <w:proofErr w:type="spellEnd"/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לפניו </w:t>
      </w:r>
      <w:r w:rsidRPr="006942DF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יָבוֹא שָׁלוֹם</w:t>
      </w: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 xml:space="preserve"> </w:t>
      </w:r>
      <w:r w:rsidRPr="006942DF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יָבוֹא שָׁלוֹם</w:t>
      </w:r>
      <w:r w:rsidRPr="006942DF">
        <w:rPr>
          <w:rFonts w:ascii="Times New Roman" w:eastAsia="Times New Roman" w:hAnsi="Times New Roman" w:cs="David"/>
          <w:color w:val="000000"/>
          <w:sz w:val="18"/>
          <w:szCs w:val="20"/>
          <w:vertAlign w:val="superscript"/>
          <w:lang w:eastAsia="he-IL"/>
          <w14:ligatures w14:val="none"/>
        </w:rPr>
        <w:footnoteReference w:id="1"/>
      </w:r>
      <w:r w:rsidRPr="006942DF">
        <w:rPr>
          <w:rFonts w:ascii="Times New Roman" w:eastAsia="Times New Roman" w:hAnsi="Times New Roman" w:cs="David"/>
          <w:color w:val="000000"/>
          <w:sz w:val="18"/>
          <w:szCs w:val="20"/>
          <w:rtl/>
          <w:lang w:eastAsia="he-IL"/>
          <w14:ligatures w14:val="none"/>
        </w:rPr>
        <w:t>.</w:t>
      </w:r>
    </w:p>
    <w:p w14:paraId="2D98C99D" w14:textId="38117EA0" w:rsidR="00D5072B" w:rsidRPr="008200EA" w:rsidRDefault="00D5072B" w:rsidP="006942DF">
      <w:pPr>
        <w:rPr>
          <w:rtl/>
        </w:rPr>
      </w:pPr>
    </w:p>
    <w:sectPr w:rsidR="00D5072B" w:rsidRPr="008200EA" w:rsidSect="00EA3F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B518" w14:textId="77777777" w:rsidR="00B65385" w:rsidRDefault="00B65385" w:rsidP="00433B59">
      <w:pPr>
        <w:spacing w:after="0" w:line="240" w:lineRule="auto"/>
      </w:pPr>
      <w:r>
        <w:separator/>
      </w:r>
    </w:p>
  </w:endnote>
  <w:endnote w:type="continuationSeparator" w:id="0">
    <w:p w14:paraId="2F361964" w14:textId="77777777" w:rsidR="00B65385" w:rsidRDefault="00B65385" w:rsidP="0043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49A05" w14:textId="77777777" w:rsidR="00B65385" w:rsidRDefault="00B65385" w:rsidP="00433B59">
      <w:pPr>
        <w:spacing w:after="0" w:line="240" w:lineRule="auto"/>
      </w:pPr>
      <w:r>
        <w:separator/>
      </w:r>
    </w:p>
  </w:footnote>
  <w:footnote w:type="continuationSeparator" w:id="0">
    <w:p w14:paraId="60A31401" w14:textId="77777777" w:rsidR="00B65385" w:rsidRDefault="00B65385" w:rsidP="00433B59">
      <w:pPr>
        <w:spacing w:after="0" w:line="240" w:lineRule="auto"/>
      </w:pPr>
      <w:r>
        <w:continuationSeparator/>
      </w:r>
    </w:p>
  </w:footnote>
  <w:footnote w:id="1">
    <w:p w14:paraId="7E64601C" w14:textId="77777777" w:rsidR="006942DF" w:rsidRDefault="006942DF" w:rsidP="006942DF">
      <w:pPr>
        <w:pStyle w:val="ae"/>
        <w:jc w:val="both"/>
        <w:rPr>
          <w:rFonts w:ascii="Keren" w:hAnsi="Keren"/>
          <w:rtl/>
        </w:rPr>
      </w:pPr>
      <w:r>
        <w:rPr>
          <w:rStyle w:val="af0"/>
        </w:rPr>
        <w:footnoteRef/>
      </w:r>
      <w:r>
        <w:rPr>
          <w:rFonts w:hint="cs"/>
        </w:rPr>
        <w:t xml:space="preserve"> </w:t>
      </w:r>
      <w:r>
        <w:rPr>
          <w:rtl/>
        </w:rPr>
        <w:t>תורת האדם לרמב"ן עמוד רמא על פי הברייתא במועד קטן כח, ב; וספרי זוטא נשא כו.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11"/>
    <w:rsid w:val="000C6E4F"/>
    <w:rsid w:val="000D0A23"/>
    <w:rsid w:val="002C1211"/>
    <w:rsid w:val="00433B59"/>
    <w:rsid w:val="0056440B"/>
    <w:rsid w:val="005C4B14"/>
    <w:rsid w:val="006942DF"/>
    <w:rsid w:val="008200EA"/>
    <w:rsid w:val="00982C1A"/>
    <w:rsid w:val="00A440E6"/>
    <w:rsid w:val="00AA7185"/>
    <w:rsid w:val="00AC1CB9"/>
    <w:rsid w:val="00B22A00"/>
    <w:rsid w:val="00B42022"/>
    <w:rsid w:val="00B65385"/>
    <w:rsid w:val="00B66711"/>
    <w:rsid w:val="00D5072B"/>
    <w:rsid w:val="00D5274A"/>
    <w:rsid w:val="00E00910"/>
    <w:rsid w:val="00EA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769E"/>
  <w15:chartTrackingRefBased/>
  <w15:docId w15:val="{BB223372-6EF7-4C13-A11B-F20806E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6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B6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6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aliases w:val="Heading 4 תו1"/>
    <w:basedOn w:val="a"/>
    <w:next w:val="a"/>
    <w:link w:val="40"/>
    <w:semiHidden/>
    <w:unhideWhenUsed/>
    <w:qFormat/>
    <w:rsid w:val="00B6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6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6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B6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B6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B6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B6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semiHidden/>
    <w:rsid w:val="00B6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semiHidden/>
    <w:rsid w:val="00B6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aliases w:val="Heading 4 תו1 תו1"/>
    <w:basedOn w:val="a0"/>
    <w:link w:val="4"/>
    <w:semiHidden/>
    <w:rsid w:val="00B6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semiHidden/>
    <w:rsid w:val="00B667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semiHidden/>
    <w:rsid w:val="00B6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semiHidden/>
    <w:rsid w:val="00B6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semiHidden/>
    <w:rsid w:val="00B6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semiHidden/>
    <w:rsid w:val="00B6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6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71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semiHidden/>
    <w:unhideWhenUsed/>
    <w:rsid w:val="00433B59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semiHidden/>
    <w:rsid w:val="00433B59"/>
    <w:rPr>
      <w:sz w:val="20"/>
      <w:szCs w:val="20"/>
    </w:rPr>
  </w:style>
  <w:style w:type="character" w:styleId="af0">
    <w:name w:val="footnote reference"/>
    <w:basedOn w:val="a0"/>
    <w:semiHidden/>
    <w:unhideWhenUsed/>
    <w:rsid w:val="00433B59"/>
    <w:rPr>
      <w:vertAlign w:val="superscript"/>
    </w:rPr>
  </w:style>
  <w:style w:type="numbering" w:customStyle="1" w:styleId="11">
    <w:name w:val="ללא רשימה1"/>
    <w:next w:val="a2"/>
    <w:uiPriority w:val="99"/>
    <w:semiHidden/>
    <w:unhideWhenUsed/>
    <w:rsid w:val="00EA3F3E"/>
  </w:style>
  <w:style w:type="character" w:styleId="Hyperlink">
    <w:name w:val="Hyperlink"/>
    <w:basedOn w:val="a0"/>
    <w:semiHidden/>
    <w:unhideWhenUsed/>
    <w:rsid w:val="00EA3F3E"/>
    <w:rPr>
      <w:color w:val="0000FF"/>
      <w:u w:val="single"/>
    </w:rPr>
  </w:style>
  <w:style w:type="character" w:styleId="FollowedHyperlink">
    <w:name w:val="FollowedHyperlink"/>
    <w:basedOn w:val="a0"/>
    <w:semiHidden/>
    <w:unhideWhenUsed/>
    <w:rsid w:val="00EA3F3E"/>
    <w:rPr>
      <w:color w:val="800080"/>
      <w:u w:val="single"/>
    </w:rPr>
  </w:style>
  <w:style w:type="character" w:customStyle="1" w:styleId="41">
    <w:name w:val="כותרת 4 תו1"/>
    <w:aliases w:val="Heading 4 תו1 תו"/>
    <w:basedOn w:val="a0"/>
    <w:semiHidden/>
    <w:rsid w:val="00EA3F3E"/>
    <w:rPr>
      <w:rFonts w:ascii="Keren" w:hAnsi="Keren" w:cs="David" w:hint="cs"/>
      <w:sz w:val="28"/>
      <w:szCs w:val="24"/>
      <w:u w:val="single"/>
      <w:lang w:val="en-US" w:eastAsia="he-IL" w:bidi="he-IL"/>
    </w:rPr>
  </w:style>
  <w:style w:type="paragraph" w:customStyle="1" w:styleId="msonormal0">
    <w:name w:val="msonormal"/>
    <w:basedOn w:val="a"/>
    <w:rsid w:val="00EA3F3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Index1">
    <w:name w:val="index 1"/>
    <w:basedOn w:val="a"/>
    <w:next w:val="a"/>
    <w:autoRedefine/>
    <w:semiHidden/>
    <w:unhideWhenUsed/>
    <w:rsid w:val="00EA3F3E"/>
    <w:pPr>
      <w:tabs>
        <w:tab w:val="right" w:leader="dot" w:pos="4222"/>
      </w:tabs>
      <w:spacing w:after="0" w:line="360" w:lineRule="auto"/>
      <w:ind w:left="280" w:hanging="280"/>
    </w:pPr>
    <w:rPr>
      <w:rFonts w:ascii="Keren" w:eastAsia="Times New Roman" w:hAnsi="Keren" w:cs="David"/>
      <w:sz w:val="24"/>
      <w:szCs w:val="26"/>
      <w:lang w:eastAsia="he-IL"/>
      <w14:ligatures w14:val="none"/>
    </w:rPr>
  </w:style>
  <w:style w:type="paragraph" w:styleId="Index2">
    <w:name w:val="index 2"/>
    <w:basedOn w:val="a"/>
    <w:next w:val="a"/>
    <w:autoRedefine/>
    <w:semiHidden/>
    <w:unhideWhenUsed/>
    <w:rsid w:val="00EA3F3E"/>
    <w:pPr>
      <w:tabs>
        <w:tab w:val="right" w:leader="dot" w:pos="4336"/>
      </w:tabs>
      <w:spacing w:after="0" w:line="360" w:lineRule="auto"/>
      <w:ind w:left="560" w:hanging="280"/>
    </w:pPr>
    <w:rPr>
      <w:rFonts w:ascii="Keren" w:eastAsia="Times New Roman" w:hAnsi="Keren" w:cs="David"/>
      <w:sz w:val="20"/>
      <w:lang w:eastAsia="he-IL"/>
      <w14:ligatures w14:val="none"/>
    </w:rPr>
  </w:style>
  <w:style w:type="paragraph" w:styleId="Index3">
    <w:name w:val="index 3"/>
    <w:basedOn w:val="a"/>
    <w:next w:val="a"/>
    <w:autoRedefine/>
    <w:semiHidden/>
    <w:unhideWhenUsed/>
    <w:rsid w:val="00EA3F3E"/>
    <w:pPr>
      <w:spacing w:after="0" w:line="360" w:lineRule="auto"/>
      <w:ind w:left="84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4">
    <w:name w:val="index 4"/>
    <w:basedOn w:val="a"/>
    <w:next w:val="a"/>
    <w:autoRedefine/>
    <w:semiHidden/>
    <w:unhideWhenUsed/>
    <w:rsid w:val="00EA3F3E"/>
    <w:pPr>
      <w:spacing w:after="0" w:line="360" w:lineRule="auto"/>
      <w:ind w:left="112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5">
    <w:name w:val="index 5"/>
    <w:basedOn w:val="a"/>
    <w:next w:val="a"/>
    <w:autoRedefine/>
    <w:semiHidden/>
    <w:unhideWhenUsed/>
    <w:rsid w:val="00EA3F3E"/>
    <w:pPr>
      <w:spacing w:after="0" w:line="360" w:lineRule="auto"/>
      <w:ind w:left="140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6">
    <w:name w:val="index 6"/>
    <w:basedOn w:val="a"/>
    <w:next w:val="a"/>
    <w:autoRedefine/>
    <w:semiHidden/>
    <w:unhideWhenUsed/>
    <w:rsid w:val="00EA3F3E"/>
    <w:pPr>
      <w:spacing w:after="0" w:line="360" w:lineRule="auto"/>
      <w:ind w:left="168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7">
    <w:name w:val="index 7"/>
    <w:basedOn w:val="a"/>
    <w:next w:val="a"/>
    <w:autoRedefine/>
    <w:semiHidden/>
    <w:unhideWhenUsed/>
    <w:rsid w:val="00EA3F3E"/>
    <w:pPr>
      <w:spacing w:after="0" w:line="360" w:lineRule="auto"/>
      <w:ind w:left="196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8">
    <w:name w:val="index 8"/>
    <w:basedOn w:val="a"/>
    <w:next w:val="a"/>
    <w:autoRedefine/>
    <w:semiHidden/>
    <w:unhideWhenUsed/>
    <w:rsid w:val="00EA3F3E"/>
    <w:pPr>
      <w:spacing w:after="0" w:line="360" w:lineRule="auto"/>
      <w:ind w:left="224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Index9">
    <w:name w:val="index 9"/>
    <w:basedOn w:val="a"/>
    <w:next w:val="a"/>
    <w:autoRedefine/>
    <w:semiHidden/>
    <w:unhideWhenUsed/>
    <w:rsid w:val="00EA3F3E"/>
    <w:pPr>
      <w:spacing w:after="0" w:line="360" w:lineRule="auto"/>
      <w:ind w:left="2520" w:hanging="280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TOC1">
    <w:name w:val="toc 1"/>
    <w:basedOn w:val="a"/>
    <w:next w:val="a"/>
    <w:autoRedefine/>
    <w:semiHidden/>
    <w:unhideWhenUsed/>
    <w:rsid w:val="00EA3F3E"/>
    <w:pPr>
      <w:spacing w:before="120" w:after="120" w:line="360" w:lineRule="auto"/>
    </w:pPr>
    <w:rPr>
      <w:rFonts w:ascii="Times New Roman" w:eastAsia="Times New Roman" w:hAnsi="Times New Roman" w:cs="Times New Roman"/>
      <w:b/>
      <w:bCs/>
      <w:caps/>
      <w:sz w:val="20"/>
      <w:szCs w:val="20"/>
      <w:lang w:eastAsia="he-IL"/>
      <w14:ligatures w14:val="none"/>
    </w:rPr>
  </w:style>
  <w:style w:type="paragraph" w:styleId="TOC2">
    <w:name w:val="toc 2"/>
    <w:basedOn w:val="a"/>
    <w:next w:val="a"/>
    <w:autoRedefine/>
    <w:semiHidden/>
    <w:unhideWhenUsed/>
    <w:rsid w:val="00EA3F3E"/>
    <w:pPr>
      <w:spacing w:after="0" w:line="360" w:lineRule="auto"/>
      <w:ind w:left="280"/>
    </w:pPr>
    <w:rPr>
      <w:rFonts w:ascii="Times New Roman" w:eastAsia="Times New Roman" w:hAnsi="Times New Roman" w:cs="Times New Roman"/>
      <w:smallCaps/>
      <w:sz w:val="20"/>
      <w:szCs w:val="20"/>
      <w:lang w:eastAsia="he-IL"/>
      <w14:ligatures w14:val="none"/>
    </w:rPr>
  </w:style>
  <w:style w:type="paragraph" w:styleId="TOC3">
    <w:name w:val="toc 3"/>
    <w:basedOn w:val="a"/>
    <w:next w:val="a"/>
    <w:autoRedefine/>
    <w:semiHidden/>
    <w:unhideWhenUsed/>
    <w:rsid w:val="00EA3F3E"/>
    <w:pPr>
      <w:spacing w:after="0" w:line="360" w:lineRule="auto"/>
      <w:ind w:left="560"/>
    </w:pPr>
    <w:rPr>
      <w:rFonts w:ascii="Times New Roman" w:eastAsia="Times New Roman" w:hAnsi="Times New Roman" w:cs="Times New Roman"/>
      <w:i/>
      <w:iCs/>
      <w:sz w:val="20"/>
      <w:szCs w:val="20"/>
      <w:lang w:eastAsia="he-IL"/>
      <w14:ligatures w14:val="none"/>
    </w:rPr>
  </w:style>
  <w:style w:type="paragraph" w:styleId="TOC4">
    <w:name w:val="toc 4"/>
    <w:basedOn w:val="a"/>
    <w:next w:val="a"/>
    <w:autoRedefine/>
    <w:semiHidden/>
    <w:unhideWhenUsed/>
    <w:rsid w:val="00EA3F3E"/>
    <w:pPr>
      <w:spacing w:after="0" w:line="360" w:lineRule="auto"/>
      <w:ind w:left="84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5">
    <w:name w:val="toc 5"/>
    <w:basedOn w:val="a"/>
    <w:next w:val="a"/>
    <w:autoRedefine/>
    <w:semiHidden/>
    <w:unhideWhenUsed/>
    <w:rsid w:val="00EA3F3E"/>
    <w:pPr>
      <w:spacing w:after="0" w:line="360" w:lineRule="auto"/>
      <w:ind w:left="112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6">
    <w:name w:val="toc 6"/>
    <w:basedOn w:val="a"/>
    <w:next w:val="a"/>
    <w:autoRedefine/>
    <w:semiHidden/>
    <w:unhideWhenUsed/>
    <w:rsid w:val="00EA3F3E"/>
    <w:pPr>
      <w:spacing w:after="0" w:line="360" w:lineRule="auto"/>
      <w:ind w:left="140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7">
    <w:name w:val="toc 7"/>
    <w:basedOn w:val="a"/>
    <w:next w:val="a"/>
    <w:autoRedefine/>
    <w:semiHidden/>
    <w:unhideWhenUsed/>
    <w:rsid w:val="00EA3F3E"/>
    <w:pPr>
      <w:spacing w:after="0" w:line="360" w:lineRule="auto"/>
      <w:ind w:left="168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8">
    <w:name w:val="toc 8"/>
    <w:basedOn w:val="a"/>
    <w:next w:val="a"/>
    <w:autoRedefine/>
    <w:semiHidden/>
    <w:unhideWhenUsed/>
    <w:rsid w:val="00EA3F3E"/>
    <w:pPr>
      <w:spacing w:after="0" w:line="360" w:lineRule="auto"/>
      <w:ind w:left="196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TOC9">
    <w:name w:val="toc 9"/>
    <w:basedOn w:val="a"/>
    <w:next w:val="a"/>
    <w:autoRedefine/>
    <w:semiHidden/>
    <w:unhideWhenUsed/>
    <w:rsid w:val="00EA3F3E"/>
    <w:pPr>
      <w:spacing w:after="0" w:line="360" w:lineRule="auto"/>
      <w:ind w:left="2240"/>
    </w:pPr>
    <w:rPr>
      <w:rFonts w:ascii="Times New Roman" w:eastAsia="Times New Roman" w:hAnsi="Times New Roman" w:cs="Times New Roman"/>
      <w:sz w:val="18"/>
      <w:szCs w:val="18"/>
      <w:lang w:eastAsia="he-IL"/>
      <w14:ligatures w14:val="none"/>
    </w:rPr>
  </w:style>
  <w:style w:type="paragraph" w:styleId="af1">
    <w:name w:val="annotation text"/>
    <w:basedOn w:val="a"/>
    <w:link w:val="af2"/>
    <w:semiHidden/>
    <w:unhideWhenUsed/>
    <w:rsid w:val="00EA3F3E"/>
    <w:pPr>
      <w:spacing w:after="0" w:line="360" w:lineRule="auto"/>
      <w:jc w:val="both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character" w:customStyle="1" w:styleId="af2">
    <w:name w:val="טקסט הערה תו"/>
    <w:basedOn w:val="a0"/>
    <w:link w:val="af1"/>
    <w:semiHidden/>
    <w:rsid w:val="00EA3F3E"/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styleId="af3">
    <w:name w:val="header"/>
    <w:basedOn w:val="a"/>
    <w:link w:val="af4"/>
    <w:semiHidden/>
    <w:unhideWhenUsed/>
    <w:rsid w:val="00EA3F3E"/>
    <w:pPr>
      <w:tabs>
        <w:tab w:val="center" w:pos="4153"/>
        <w:tab w:val="right" w:pos="8306"/>
      </w:tabs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af4">
    <w:name w:val="כותרת עליונה תו"/>
    <w:basedOn w:val="a0"/>
    <w:link w:val="af3"/>
    <w:semiHidden/>
    <w:rsid w:val="00EA3F3E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5">
    <w:name w:val="footer"/>
    <w:basedOn w:val="a"/>
    <w:link w:val="af6"/>
    <w:semiHidden/>
    <w:unhideWhenUsed/>
    <w:rsid w:val="00EA3F3E"/>
    <w:pPr>
      <w:tabs>
        <w:tab w:val="center" w:pos="4153"/>
        <w:tab w:val="right" w:pos="8306"/>
      </w:tabs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af6">
    <w:name w:val="כותרת תחתונה תו"/>
    <w:basedOn w:val="a0"/>
    <w:link w:val="af5"/>
    <w:semiHidden/>
    <w:rsid w:val="00EA3F3E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7">
    <w:name w:val="index heading"/>
    <w:basedOn w:val="a"/>
    <w:next w:val="Index1"/>
    <w:semiHidden/>
    <w:unhideWhenUsed/>
    <w:rsid w:val="00EA3F3E"/>
    <w:pPr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8">
    <w:name w:val="endnote text"/>
    <w:basedOn w:val="a"/>
    <w:link w:val="af9"/>
    <w:semiHidden/>
    <w:unhideWhenUsed/>
    <w:rsid w:val="00EA3F3E"/>
    <w:pPr>
      <w:spacing w:after="0" w:line="360" w:lineRule="auto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character" w:customStyle="1" w:styleId="af9">
    <w:name w:val="טקסט הערת סיום תו"/>
    <w:basedOn w:val="a0"/>
    <w:link w:val="af8"/>
    <w:semiHidden/>
    <w:rsid w:val="00EA3F3E"/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styleId="afa">
    <w:name w:val="Body Text"/>
    <w:basedOn w:val="a"/>
    <w:link w:val="afb"/>
    <w:semiHidden/>
    <w:unhideWhenUsed/>
    <w:rsid w:val="00EA3F3E"/>
    <w:pPr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afb">
    <w:name w:val="גוף טקסט תו"/>
    <w:basedOn w:val="a0"/>
    <w:link w:val="afa"/>
    <w:semiHidden/>
    <w:rsid w:val="00EA3F3E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afc">
    <w:name w:val="Body Text Indent"/>
    <w:basedOn w:val="a"/>
    <w:link w:val="afd"/>
    <w:semiHidden/>
    <w:unhideWhenUsed/>
    <w:rsid w:val="00EA3F3E"/>
    <w:pPr>
      <w:spacing w:after="0" w:line="360" w:lineRule="auto"/>
      <w:ind w:left="360"/>
      <w:jc w:val="both"/>
    </w:pPr>
    <w:rPr>
      <w:rFonts w:ascii="Keren" w:eastAsia="Times New Roman" w:hAnsi="Keren" w:cs="David"/>
      <w:sz w:val="24"/>
      <w:szCs w:val="24"/>
      <w:lang w:eastAsia="he-IL"/>
      <w14:ligatures w14:val="none"/>
    </w:rPr>
  </w:style>
  <w:style w:type="character" w:customStyle="1" w:styleId="afd">
    <w:name w:val="כניסה בגוף טקסט תו"/>
    <w:basedOn w:val="a0"/>
    <w:link w:val="afc"/>
    <w:semiHidden/>
    <w:rsid w:val="00EA3F3E"/>
    <w:rPr>
      <w:rFonts w:ascii="Keren" w:eastAsia="Times New Roman" w:hAnsi="Keren" w:cs="David"/>
      <w:sz w:val="24"/>
      <w:szCs w:val="24"/>
      <w:lang w:eastAsia="he-IL"/>
      <w14:ligatures w14:val="none"/>
    </w:rPr>
  </w:style>
  <w:style w:type="paragraph" w:styleId="21">
    <w:name w:val="Body Text 2"/>
    <w:basedOn w:val="a"/>
    <w:link w:val="22"/>
    <w:semiHidden/>
    <w:unhideWhenUsed/>
    <w:rsid w:val="00EA3F3E"/>
    <w:pPr>
      <w:spacing w:after="0" w:line="36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22">
    <w:name w:val="גוף טקסט 2 תו"/>
    <w:basedOn w:val="a0"/>
    <w:link w:val="21"/>
    <w:semiHidden/>
    <w:rsid w:val="00EA3F3E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31">
    <w:name w:val="Body Text 3"/>
    <w:basedOn w:val="a"/>
    <w:link w:val="32"/>
    <w:semiHidden/>
    <w:unhideWhenUsed/>
    <w:rsid w:val="00EA3F3E"/>
    <w:pPr>
      <w:spacing w:after="0" w:line="360" w:lineRule="auto"/>
      <w:jc w:val="both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character" w:customStyle="1" w:styleId="32">
    <w:name w:val="גוף טקסט 3 תו"/>
    <w:basedOn w:val="a0"/>
    <w:link w:val="31"/>
    <w:semiHidden/>
    <w:rsid w:val="00EA3F3E"/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styleId="23">
    <w:name w:val="Body Text Indent 2"/>
    <w:basedOn w:val="a"/>
    <w:link w:val="24"/>
    <w:semiHidden/>
    <w:unhideWhenUsed/>
    <w:rsid w:val="00EA3F3E"/>
    <w:pPr>
      <w:spacing w:after="0" w:line="360" w:lineRule="auto"/>
      <w:ind w:left="360"/>
    </w:pPr>
    <w:rPr>
      <w:rFonts w:ascii="Keren" w:eastAsia="Times New Roman" w:hAnsi="Keren" w:cs="David"/>
      <w:sz w:val="24"/>
      <w:szCs w:val="24"/>
      <w:lang w:eastAsia="he-IL"/>
      <w14:ligatures w14:val="none"/>
    </w:rPr>
  </w:style>
  <w:style w:type="character" w:customStyle="1" w:styleId="24">
    <w:name w:val="כניסה בגוף טקסט 2 תו"/>
    <w:basedOn w:val="a0"/>
    <w:link w:val="23"/>
    <w:semiHidden/>
    <w:rsid w:val="00EA3F3E"/>
    <w:rPr>
      <w:rFonts w:ascii="Keren" w:eastAsia="Times New Roman" w:hAnsi="Keren" w:cs="David"/>
      <w:sz w:val="24"/>
      <w:szCs w:val="24"/>
      <w:lang w:eastAsia="he-IL"/>
      <w14:ligatures w14:val="none"/>
    </w:rPr>
  </w:style>
  <w:style w:type="paragraph" w:styleId="33">
    <w:name w:val="Body Text Indent 3"/>
    <w:basedOn w:val="a"/>
    <w:link w:val="34"/>
    <w:semiHidden/>
    <w:unhideWhenUsed/>
    <w:rsid w:val="00EA3F3E"/>
    <w:pPr>
      <w:spacing w:after="0" w:line="360" w:lineRule="auto"/>
      <w:ind w:left="386"/>
    </w:pPr>
    <w:rPr>
      <w:rFonts w:ascii="Keren" w:eastAsia="Times New Roman" w:hAnsi="Keren" w:cs="David"/>
      <w:sz w:val="24"/>
      <w:szCs w:val="24"/>
      <w:lang w:eastAsia="he-IL"/>
      <w14:ligatures w14:val="none"/>
    </w:rPr>
  </w:style>
  <w:style w:type="character" w:customStyle="1" w:styleId="34">
    <w:name w:val="כניסה בגוף טקסט 3 תו"/>
    <w:basedOn w:val="a0"/>
    <w:link w:val="33"/>
    <w:semiHidden/>
    <w:rsid w:val="00EA3F3E"/>
    <w:rPr>
      <w:rFonts w:ascii="Keren" w:eastAsia="Times New Roman" w:hAnsi="Keren" w:cs="David"/>
      <w:sz w:val="24"/>
      <w:szCs w:val="24"/>
      <w:lang w:eastAsia="he-IL"/>
      <w14:ligatures w14:val="none"/>
    </w:rPr>
  </w:style>
  <w:style w:type="paragraph" w:styleId="afe">
    <w:name w:val="Block Text"/>
    <w:basedOn w:val="a"/>
    <w:semiHidden/>
    <w:unhideWhenUsed/>
    <w:rsid w:val="00EA3F3E"/>
    <w:pPr>
      <w:tabs>
        <w:tab w:val="left" w:pos="8306"/>
      </w:tabs>
      <w:spacing w:after="0" w:line="360" w:lineRule="auto"/>
      <w:ind w:left="26" w:right="540"/>
      <w:jc w:val="both"/>
    </w:pPr>
    <w:rPr>
      <w:rFonts w:ascii="Times New Roman" w:eastAsia="Times New Roman" w:hAnsi="Times New Roman" w:cs="David"/>
      <w:sz w:val="24"/>
      <w:szCs w:val="24"/>
      <w:lang w:eastAsia="he-IL"/>
      <w14:ligatures w14:val="none"/>
    </w:rPr>
  </w:style>
  <w:style w:type="paragraph" w:styleId="aff">
    <w:name w:val="Document Map"/>
    <w:basedOn w:val="a"/>
    <w:link w:val="aff0"/>
    <w:semiHidden/>
    <w:unhideWhenUsed/>
    <w:rsid w:val="00EA3F3E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character" w:customStyle="1" w:styleId="aff0">
    <w:name w:val="מפת מסמך תו"/>
    <w:basedOn w:val="a0"/>
    <w:link w:val="aff"/>
    <w:semiHidden/>
    <w:rsid w:val="00EA3F3E"/>
    <w:rPr>
      <w:rFonts w:ascii="Times New Roman" w:eastAsia="Times New Roman" w:hAnsi="Times New Roman" w:cs="Times New Roman"/>
      <w:sz w:val="28"/>
      <w:szCs w:val="24"/>
      <w:shd w:val="clear" w:color="auto" w:fill="000080"/>
      <w:lang w:eastAsia="he-IL"/>
      <w14:ligatures w14:val="none"/>
    </w:rPr>
  </w:style>
  <w:style w:type="paragraph" w:styleId="aff1">
    <w:name w:val="annotation subject"/>
    <w:basedOn w:val="af1"/>
    <w:next w:val="af1"/>
    <w:link w:val="aff2"/>
    <w:semiHidden/>
    <w:unhideWhenUsed/>
    <w:rsid w:val="00EA3F3E"/>
    <w:rPr>
      <w:b/>
      <w:bCs/>
    </w:rPr>
  </w:style>
  <w:style w:type="character" w:customStyle="1" w:styleId="aff2">
    <w:name w:val="נושא הערה תו"/>
    <w:basedOn w:val="af2"/>
    <w:link w:val="aff1"/>
    <w:semiHidden/>
    <w:rsid w:val="00EA3F3E"/>
    <w:rPr>
      <w:rFonts w:ascii="Keren" w:eastAsia="Times New Roman" w:hAnsi="Keren" w:cs="David"/>
      <w:b/>
      <w:bCs/>
      <w:sz w:val="20"/>
      <w:szCs w:val="20"/>
      <w:lang w:eastAsia="he-IL"/>
      <w14:ligatures w14:val="none"/>
    </w:rPr>
  </w:style>
  <w:style w:type="paragraph" w:styleId="aff3">
    <w:name w:val="Balloon Text"/>
    <w:basedOn w:val="a"/>
    <w:link w:val="aff4"/>
    <w:semiHidden/>
    <w:unhideWhenUsed/>
    <w:rsid w:val="00EA3F3E"/>
    <w:pPr>
      <w:spacing w:after="0" w:line="360" w:lineRule="auto"/>
      <w:jc w:val="both"/>
    </w:pPr>
    <w:rPr>
      <w:rFonts w:ascii="Times New Roman" w:eastAsia="Times New Roman" w:hAnsi="Times New Roman" w:cs="Times New Roman"/>
      <w:sz w:val="16"/>
      <w:szCs w:val="16"/>
      <w:lang w:eastAsia="he-IL"/>
      <w14:ligatures w14:val="none"/>
    </w:rPr>
  </w:style>
  <w:style w:type="character" w:customStyle="1" w:styleId="aff4">
    <w:name w:val="טקסט בלונים תו"/>
    <w:basedOn w:val="a0"/>
    <w:link w:val="aff3"/>
    <w:semiHidden/>
    <w:rsid w:val="00EA3F3E"/>
    <w:rPr>
      <w:rFonts w:ascii="Times New Roman" w:eastAsia="Times New Roman" w:hAnsi="Times New Roman" w:cs="Times New Roman"/>
      <w:sz w:val="16"/>
      <w:szCs w:val="16"/>
      <w:lang w:eastAsia="he-IL"/>
      <w14:ligatures w14:val="none"/>
    </w:rPr>
  </w:style>
  <w:style w:type="paragraph" w:styleId="aff5">
    <w:name w:val="Revision"/>
    <w:uiPriority w:val="99"/>
    <w:semiHidden/>
    <w:rsid w:val="00EA3F3E"/>
    <w:pPr>
      <w:bidi w:val="0"/>
      <w:spacing w:after="0" w:line="240" w:lineRule="auto"/>
    </w:pPr>
    <w:rPr>
      <w:rFonts w:ascii="Keren" w:eastAsia="Times New Roman" w:hAnsi="Keren" w:cs="David"/>
      <w:sz w:val="28"/>
      <w:szCs w:val="24"/>
      <w:lang w:eastAsia="he-IL"/>
      <w14:ligatures w14:val="none"/>
    </w:rPr>
  </w:style>
  <w:style w:type="paragraph" w:customStyle="1" w:styleId="text">
    <w:name w:val="text"/>
    <w:basedOn w:val="a"/>
    <w:rsid w:val="00EA3F3E"/>
    <w:pPr>
      <w:bidi w:val="0"/>
      <w:spacing w:before="100" w:beforeAutospacing="1" w:after="100" w:afterAutospacing="1" w:line="360" w:lineRule="auto"/>
    </w:pPr>
    <w:rPr>
      <w:rFonts w:ascii="Times New Roman" w:eastAsia="Times New Roman" w:hAnsi="Times New Roman" w:cs="David"/>
      <w:sz w:val="26"/>
      <w:szCs w:val="26"/>
      <w:lang w:eastAsia="he-IL"/>
      <w14:ligatures w14:val="none"/>
    </w:rPr>
  </w:style>
  <w:style w:type="paragraph" w:customStyle="1" w:styleId="coteret">
    <w:name w:val="coteret"/>
    <w:basedOn w:val="a"/>
    <w:rsid w:val="00EA3F3E"/>
    <w:pPr>
      <w:bidi w:val="0"/>
      <w:spacing w:before="100" w:beforeAutospacing="1" w:after="100" w:afterAutospacing="1" w:line="360" w:lineRule="auto"/>
    </w:pPr>
    <w:rPr>
      <w:rFonts w:ascii="Times New Roman" w:eastAsia="Times New Roman" w:hAnsi="Times New Roman" w:cs="David"/>
      <w:color w:val="0000FF"/>
      <w:sz w:val="36"/>
      <w:szCs w:val="36"/>
      <w:lang w:eastAsia="he-IL"/>
      <w14:ligatures w14:val="none"/>
    </w:rPr>
  </w:style>
  <w:style w:type="paragraph" w:customStyle="1" w:styleId="meidaotiyot">
    <w:name w:val="meidaotiyot"/>
    <w:basedOn w:val="a"/>
    <w:rsid w:val="00EA3F3E"/>
    <w:pPr>
      <w:bidi w:val="0"/>
      <w:spacing w:before="100" w:beforeAutospacing="1" w:after="100" w:afterAutospacing="1" w:line="360" w:lineRule="auto"/>
    </w:pPr>
    <w:rPr>
      <w:rFonts w:ascii="Arial" w:eastAsia="Times New Roman" w:hAnsi="Arial" w:cs="Arial"/>
      <w:color w:val="000000"/>
      <w:sz w:val="17"/>
      <w:szCs w:val="17"/>
      <w:lang w:eastAsia="he-IL"/>
      <w14:ligatures w14:val="none"/>
    </w:rPr>
  </w:style>
  <w:style w:type="paragraph" w:customStyle="1" w:styleId="42">
    <w:name w:val="4"/>
    <w:basedOn w:val="a"/>
    <w:next w:val="aff"/>
    <w:semiHidden/>
    <w:rsid w:val="00EA3F3E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paragraph" w:customStyle="1" w:styleId="35">
    <w:name w:val="3"/>
    <w:basedOn w:val="a"/>
    <w:next w:val="ae"/>
    <w:semiHidden/>
    <w:rsid w:val="00EA3F3E"/>
    <w:pPr>
      <w:spacing w:after="0" w:line="360" w:lineRule="auto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customStyle="1" w:styleId="100">
    <w:name w:val="רגיל + ‏10 נק"/>
    <w:basedOn w:val="a"/>
    <w:rsid w:val="00EA3F3E"/>
    <w:pPr>
      <w:spacing w:after="0" w:line="360" w:lineRule="auto"/>
      <w:jc w:val="both"/>
    </w:pPr>
    <w:rPr>
      <w:rFonts w:ascii="Keren" w:eastAsia="Times New Roman" w:hAnsi="Keren" w:cs="David"/>
      <w:sz w:val="20"/>
      <w:szCs w:val="20"/>
      <w:lang w:eastAsia="he-IL"/>
      <w14:ligatures w14:val="none"/>
    </w:rPr>
  </w:style>
  <w:style w:type="paragraph" w:customStyle="1" w:styleId="216-16">
    <w:name w:val="סגנון כותרת 2 + ‏16 נק שנה לובן אות ב- ‏16 נק"/>
    <w:basedOn w:val="2"/>
    <w:rsid w:val="00EA3F3E"/>
    <w:pPr>
      <w:keepLines w:val="0"/>
      <w:spacing w:before="240" w:after="60" w:line="360" w:lineRule="auto"/>
      <w:jc w:val="center"/>
    </w:pPr>
    <w:rPr>
      <w:rFonts w:ascii="Arial" w:eastAsia="Times New Roman" w:hAnsi="Arial" w:cs="Symbol"/>
      <w:b/>
      <w:bCs/>
      <w:i/>
      <w:color w:val="auto"/>
      <w:kern w:val="32"/>
      <w:u w:val="single"/>
      <w:lang w:eastAsia="he-IL"/>
      <w14:ligatures w14:val="none"/>
    </w:rPr>
  </w:style>
  <w:style w:type="paragraph" w:customStyle="1" w:styleId="25">
    <w:name w:val="2"/>
    <w:basedOn w:val="a"/>
    <w:next w:val="aff"/>
    <w:semiHidden/>
    <w:rsid w:val="00EA3F3E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paragraph" w:customStyle="1" w:styleId="12">
    <w:name w:val="1"/>
    <w:basedOn w:val="a"/>
    <w:next w:val="aff"/>
    <w:semiHidden/>
    <w:rsid w:val="00EA3F3E"/>
    <w:pPr>
      <w:shd w:val="clear" w:color="auto" w:fill="000080"/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he-IL"/>
      <w14:ligatures w14:val="none"/>
    </w:rPr>
  </w:style>
  <w:style w:type="paragraph" w:customStyle="1" w:styleId="a22yellowbold">
    <w:name w:val="a22yellowbold"/>
    <w:basedOn w:val="a"/>
    <w:rsid w:val="00EA3F3E"/>
    <w:pPr>
      <w:bidi w:val="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E49E0C"/>
      <w:sz w:val="33"/>
      <w:szCs w:val="33"/>
      <w:lang w:eastAsia="he-IL"/>
      <w14:ligatures w14:val="none"/>
    </w:rPr>
  </w:style>
  <w:style w:type="paragraph" w:customStyle="1" w:styleId="a12black">
    <w:name w:val="a12black"/>
    <w:basedOn w:val="a"/>
    <w:rsid w:val="00EA3F3E"/>
    <w:pPr>
      <w:bidi w:val="0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he-IL"/>
      <w14:ligatures w14:val="none"/>
    </w:rPr>
  </w:style>
  <w:style w:type="character" w:styleId="aff6">
    <w:name w:val="annotation reference"/>
    <w:basedOn w:val="a0"/>
    <w:semiHidden/>
    <w:unhideWhenUsed/>
    <w:rsid w:val="00EA3F3E"/>
    <w:rPr>
      <w:sz w:val="16"/>
      <w:szCs w:val="16"/>
    </w:rPr>
  </w:style>
  <w:style w:type="character" w:styleId="aff7">
    <w:name w:val="endnote reference"/>
    <w:basedOn w:val="a0"/>
    <w:semiHidden/>
    <w:unhideWhenUsed/>
    <w:rsid w:val="00EA3F3E"/>
    <w:rPr>
      <w:vertAlign w:val="superscript"/>
    </w:rPr>
  </w:style>
  <w:style w:type="character" w:customStyle="1" w:styleId="Heading1">
    <w:name w:val="Heading 1 תו"/>
    <w:basedOn w:val="a0"/>
    <w:rsid w:val="00EA3F3E"/>
    <w:rPr>
      <w:rFonts w:ascii="Keren" w:hAnsi="Keren" w:cs="Keren" w:hint="cs"/>
      <w:sz w:val="26"/>
      <w:szCs w:val="24"/>
      <w:lang w:val="en-US" w:eastAsia="he-IL" w:bidi="he-IL"/>
    </w:rPr>
  </w:style>
  <w:style w:type="character" w:customStyle="1" w:styleId="Heading2">
    <w:name w:val="Heading 2 תו"/>
    <w:basedOn w:val="a0"/>
    <w:rsid w:val="00EA3F3E"/>
    <w:rPr>
      <w:rFonts w:ascii="Keren" w:hAnsi="Keren" w:cs="David" w:hint="cs"/>
      <w:sz w:val="34"/>
      <w:szCs w:val="32"/>
      <w:lang w:val="en-US" w:eastAsia="he-IL" w:bidi="he-IL"/>
    </w:rPr>
  </w:style>
  <w:style w:type="character" w:customStyle="1" w:styleId="Heading4">
    <w:name w:val="Heading 4 תו"/>
    <w:basedOn w:val="a0"/>
    <w:rsid w:val="00EA3F3E"/>
    <w:rPr>
      <w:rFonts w:ascii="Keren" w:hAnsi="Keren" w:cs="David" w:hint="cs"/>
      <w:sz w:val="28"/>
      <w:szCs w:val="24"/>
      <w:u w:val="single"/>
      <w:lang w:val="en-US" w:eastAsia="he-IL" w:bidi="he-IL"/>
    </w:rPr>
  </w:style>
  <w:style w:type="character" w:customStyle="1" w:styleId="Heading5">
    <w:name w:val="Heading 5 תו"/>
    <w:basedOn w:val="a0"/>
    <w:rsid w:val="00EA3F3E"/>
    <w:rPr>
      <w:rFonts w:ascii="Keren" w:hAnsi="Keren" w:cs="David" w:hint="cs"/>
      <w:sz w:val="26"/>
      <w:szCs w:val="24"/>
      <w:lang w:val="en-US" w:eastAsia="he-IL" w:bidi="he-IL"/>
    </w:rPr>
  </w:style>
  <w:style w:type="character" w:customStyle="1" w:styleId="71">
    <w:name w:val="כותרת 71"/>
    <w:aliases w:val="Heading 7 תו תו"/>
    <w:basedOn w:val="a0"/>
    <w:rsid w:val="00EA3F3E"/>
    <w:rPr>
      <w:rFonts w:ascii="Keren" w:hAnsi="Keren" w:cs="David" w:hint="cs"/>
      <w:b/>
      <w:bCs/>
      <w:sz w:val="26"/>
      <w:szCs w:val="24"/>
      <w:lang w:val="en-US" w:eastAsia="he-IL" w:bidi="he-IL"/>
    </w:rPr>
  </w:style>
  <w:style w:type="character" w:customStyle="1" w:styleId="a15blue2bold1">
    <w:name w:val="a15blue2bold1"/>
    <w:basedOn w:val="a0"/>
    <w:rsid w:val="00EA3F3E"/>
    <w:rPr>
      <w:rFonts w:ascii="Arial" w:hAnsi="Arial" w:cs="Arial" w:hint="default"/>
      <w:b/>
      <w:bCs/>
      <w:strike w:val="0"/>
      <w:dstrike w:val="0"/>
      <w:color w:val="6C7E96"/>
      <w:sz w:val="23"/>
      <w:szCs w:val="23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1712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2</cp:revision>
  <dcterms:created xsi:type="dcterms:W3CDTF">2025-12-04T23:41:00Z</dcterms:created>
  <dcterms:modified xsi:type="dcterms:W3CDTF">2025-12-04T23:41:00Z</dcterms:modified>
</cp:coreProperties>
</file>