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0"/>
          <w:szCs w:val="40"/>
        </w:rPr>
        <w:t xml:space="preserve">BOUNTEOUS MOTORS AI</w:t>
      </w:r>
    </w:p>
    <w:p>
      <w:pPr>
        <w:spacing w:after="200"/>
      </w:pPr>
      <w:r>
        <w:rPr>
          <w:b/>
          <w:bCs/>
          <w:color w:val="2E75B6"/>
          <w:sz w:val="26"/>
          <w:szCs w:val="26"/>
        </w:rPr>
        <w:t xml:space="preserve">Vehicle Price Prediction — Model Training Progress Report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Prepared: 2 August 2026</w:t>
      </w:r>
    </w:p>
    <w:p>
      <w:pPr>
        <w:pBdr>
          <w:bottom w:val="single" w:color="CCCCCC" w:sz="6"/>
        </w:pBdr>
        <w:spacing w:after="200" w:before="100"/>
      </w:pPr>
      <w:r>
        <w:t xml:space="preserve"/>
      </w:r>
    </w:p>
    <w:p>
      <w:pPr>
        <w:pStyle w:val="Heading1"/>
        <w:spacing w:after="160" w:before="300"/>
      </w:pPr>
      <w:r>
        <w:rPr>
          <w:b/>
          <w:bCs/>
          <w:color w:val="1F3A5F"/>
          <w:sz w:val="30"/>
          <w:szCs w:val="30"/>
        </w:rPr>
        <w:t xml:space="preserve">1. Summary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Four regression models — Decision Tree, Random Forest, Gradient Boosting, and XGBoost — were trained and hyperparameter-tuned on the cleaned used-car dataset (6,019 vehicles after cleaning) to predict resale price. A Linear Regression baseline is included for reference. All four target models substantially outperform the linear baseline, with 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XGBoost currently the best performer: R² = 0.891 and MAE ≈ KES 192,000 on held-out test data.</w:t>
      </w:r>
    </w:p>
    <w:p>
      <w:pPr>
        <w:pStyle w:val="Heading1"/>
        <w:spacing w:after="160" w:before="300"/>
      </w:pPr>
      <w:r>
        <w:rPr>
          <w:b/>
          <w:bCs/>
          <w:color w:val="1F3A5F"/>
          <w:sz w:val="30"/>
          <w:szCs w:val="30"/>
        </w:rPr>
        <w:t xml:space="preserve">2. Data Pipeline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All four models share the same cleaning, feature-engineering, and preprocessing pipeline, so comparisons between them are apples-to-apples:</w:t>
      </w:r>
    </w:p>
    <w:tbl>
      <w:tblPr>
        <w:tblW w:type="dxa" w:w="9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50"/>
      </w:tblGrid>
      <w:tr>
        <w:trPr>
          <w:tblHeader/>
        </w:trPr>
        <w:tc>
          <w:tcPr>
            <w:tcW w:type="dxa" w:w="2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15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loading</w:t>
            </w:r>
          </w:p>
        </w:tc>
        <w:tc>
          <w:tcPr>
            <w:tcW w:type="dxa" w:w="71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Reads used_cars_data.csv (7,253 rows, 14 columns) into a DataFrame with basic sanity checks.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Cleaning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Removes duplicates and unused columns; drops rows with no target price; parses Mileage/Engine/Power out of free-text units; converts USD → KES; imputes missing values (median/mode); standardizes text casing; validates the result.</w:t>
            </w:r>
          </w:p>
        </w:tc>
      </w:tr>
      <w:tr>
        <w:tc>
          <w:tcPr>
            <w:tcW w:type="dxa" w:w="2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71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Extracts Brand and Model from the car name; computes Car_Age, Kilometers_Per_Year, Power_Per_CC, and a Luxury_Brand flag.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ColumnTransformer: median imputation + standard scaling for numeric features, most-frequent imputation + one-hot encoding for categorical features.</w:t>
            </w:r>
          </w:p>
        </w:tc>
      </w:tr>
      <w:tr>
        <w:tc>
          <w:tcPr>
            <w:tcW w:type="dxa" w:w="2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Model training &amp; tuning</w:t>
            </w:r>
          </w:p>
        </w:tc>
        <w:tc>
          <w:tcPr>
            <w:tcW w:type="dxa" w:w="71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Each candidate model is wrapped in the same preprocessing pipeline and tuned with RandomizedSearchCV (5-fold cross-validation, scored on R²).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Evaluation &amp; selection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Each tuned model is scored on a held-out 20% test split (MAE, RMSE, R²); the pipeline with the best test R² is saved as the deployable artifact.</w:t>
            </w:r>
          </w:p>
        </w:tc>
      </w:tr>
    </w:tbl>
    <w:p>
      <w:pPr>
        <w:pStyle w:val="Heading1"/>
        <w:spacing w:after="160" w:before="300"/>
      </w:pPr>
      <w:r>
        <w:rPr>
          <w:b/>
          <w:bCs/>
          <w:color w:val="1F3A5F"/>
          <w:sz w:val="30"/>
          <w:szCs w:val="30"/>
        </w:rPr>
        <w:t xml:space="preserve">3. Model Comparison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Each model (except the linear baseline) was tuned with RandomizedSearchCV over a model-specific hyperparameter grid, using 5-fold cross-validation on the training set. Test metrics below are computed on a held-out 20% split the models never saw during tuning.</w:t>
      </w:r>
    </w:p>
    <w:tbl>
      <w:tblPr>
        <w:tblW w:type="dxa" w:w="9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50"/>
        <w:gridCol w:w="1550"/>
        <w:gridCol w:w="1550"/>
        <w:gridCol w:w="1550"/>
        <w:gridCol w:w="16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5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CV R²</w:t>
            </w:r>
          </w:p>
        </w:tc>
        <w:tc>
          <w:tcPr>
            <w:tcW w:type="dxa" w:w="155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R²</w:t>
            </w:r>
          </w:p>
        </w:tc>
        <w:tc>
          <w:tcPr>
            <w:tcW w:type="dxa" w:w="155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Train R²</w:t>
            </w:r>
          </w:p>
        </w:tc>
        <w:tc>
          <w:tcPr>
            <w:tcW w:type="dxa" w:w="155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MAE (KES)</w:t>
            </w:r>
          </w:p>
        </w:tc>
        <w:tc>
          <w:tcPr>
            <w:tcW w:type="dxa" w:w="1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RMSE (KES)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Linear Regression (baseline)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–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0.4103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0.9705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451,886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1,107,398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0.8035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0.8193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0.9444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263,019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613,056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0.8780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0.8798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0.9731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203,690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499,946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0.8850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0.8829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0.9532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233,860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493,555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XGBoost  —  BEST</w:t>
            </w:r>
          </w:p>
        </w:tc>
        <w:tc>
          <w:tcPr>
            <w:tcW w:type="dxa" w:w="15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0.8945</w:t>
            </w:r>
          </w:p>
        </w:tc>
        <w:tc>
          <w:tcPr>
            <w:tcW w:type="dxa" w:w="15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0.8909</w:t>
            </w:r>
          </w:p>
        </w:tc>
        <w:tc>
          <w:tcPr>
            <w:tcW w:type="dxa" w:w="15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0.9874</w:t>
            </w:r>
          </w:p>
        </w:tc>
        <w:tc>
          <w:tcPr>
            <w:tcW w:type="dxa" w:w="15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192,130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476,258</w:t>
            </w:r>
          </w:p>
        </w:tc>
      </w:tr>
    </w:tbl>
    <w:p>
      <w:pPr>
        <w:spacing w:after="100" w:before="160"/>
      </w:pPr>
      <w:r>
        <w:rPr>
          <w:b/>
          <w:bCs/>
          <w:sz w:val="20"/>
          <w:szCs w:val="20"/>
        </w:rPr>
        <w:t xml:space="preserve">Reading the table: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CV R² is the average cross-validated score during hyperparameter search (training data only).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Test R² / MAE / RMSE are computed on the untouched 20% test split — the fairest comparison across models.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Train R² vs Test R² gives a rough overfitting check; Decision Tree shows the widest gap, as expected for a single unconstrained tree.</w:t>
      </w:r>
    </w:p>
    <w:p>
      <w:pPr>
        <w:pStyle w:val="Heading1"/>
        <w:spacing w:after="160" w:before="300"/>
      </w:pPr>
      <w:r>
        <w:rPr>
          <w:b/>
          <w:bCs/>
          <w:color w:val="1F3A5F"/>
          <w:sz w:val="30"/>
          <w:szCs w:val="30"/>
        </w:rPr>
        <w:t xml:space="preserve">4. Best Model: XGBoost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XGBoost was selected automatically by train.py as the model with the highest test R², and its pipeline (preprocessing + tuned model) has been serialized for use by the prediction service.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1. Actual vs. predicted price — best model (XGBoost), test set.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2. Residuals vs. predicted price — best model (XGBoost), test set.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3. Feature importance — best model (XGBoost).</w:t>
      </w:r>
    </w:p>
    <w:p>
      <w:pPr>
        <w:pStyle w:val="Heading1"/>
        <w:spacing w:after="160" w:before="300"/>
      </w:pPr>
      <w:r>
        <w:rPr>
          <w:b/>
          <w:bCs/>
          <w:color w:val="1F3A5F"/>
          <w:sz w:val="30"/>
          <w:szCs w:val="30"/>
        </w:rPr>
        <w:t xml:space="preserve">5. Engineering Notes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While preparing this run, a few issues in the existing codebase were identified and corrected so the pipeline runs end-to-end: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config.py was missing the METRICS_FILE path that evaluation.py depends on — added.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model_loader.py and predict.py referenced a module path (ML.src.…) that didn't match the project layout — corrected to relative imports.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Decision Tree had no hyperparameter grid in tuning.py, so it was training with default settings only — a tuning grid was added.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One row in the raw dataset has Seats = 0, a data-entry error that bypassed missing-value imputation and failed validation — the cleaning step now treats 0 as missing and imputes it.</w:t>
      </w:r>
    </w:p>
    <w:p>
      <w:pPr>
        <w:pStyle w:val="Heading1"/>
        <w:spacing w:after="160" w:before="300"/>
      </w:pPr>
      <w:r>
        <w:rPr>
          <w:b/>
          <w:bCs/>
          <w:color w:val="1F3A5F"/>
          <w:sz w:val="30"/>
          <w:szCs w:val="30"/>
        </w:rPr>
        <w:t xml:space="preserve">6. Next Steps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Run the full-scale hyperparameter search (5-fold CV × 15 candidates per model, already configured in tuning.py) on a multi-core machine for the production model — this progress check used a lighter search budget to fit the review timeline.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Wire the saved pipeline into predict.py / the mobile app's inference endpoint for live price predictions.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Begin integrating the computer-vision component (vehicle condition/damage detection from images) alongside the tabular price model.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Consider adding SHAP-based explanations (shap is already in requirements.txt) so predictions can show which features drove a given price estimate.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6e05897a80877c31d4e39ac19f57b7658b7fac.png"/><Relationship Id="rId8" Type="http://schemas.openxmlformats.org/officeDocument/2006/relationships/image" Target="media/0f76db87e1b0e3c6559eb95480932ad9db89c858.png"/><Relationship Id="rId9" Type="http://schemas.openxmlformats.org/officeDocument/2006/relationships/image" Target="media/ad4ae58bf095da14d071fc3fe14b6d2150edf00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2026-08-02T17:42:48.126Z</dcterms:created>
  <dcterms:modified xsi:type="dcterms:W3CDTF">2026-08-02T17:42:48.126Z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