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b/>
          <w:bCs/>
          <w:color w:val="1B5E20"/>
          <w:sz w:val="58"/>
          <w:szCs w:val="58"/>
          <w:rFonts w:ascii="Georgia" w:cs="Georgia" w:eastAsia="Georgia" w:hAnsi="Georgia"/>
        </w:rPr>
        <w:t xml:space="preserve">Urban Beekeeping Report</w:t>
      </w:r>
    </w:p>
    <w:p>
      <w:pPr>
        <w:spacing w:after="300"/>
        <w:jc w:val="center"/>
      </w:pPr>
      <w:r>
        <w:rPr>
          <w:i/>
          <w:iCs/>
          <w:color w:val="888888"/>
          <w:sz w:val="22"/>
          <w:szCs w:val="22"/>
          <w:rFonts w:ascii="Calibri" w:cs="Calibri" w:eastAsia="Calibri" w:hAnsi="Calibri"/>
        </w:rPr>
        <w:t xml:space="preserve">Buzzing into the Future</w:t>
      </w:r>
    </w:p>
    <w:p>
      <w:pPr>
        <w:shd w:fill="1B5E20" w:val="clear"/>
        <w:spacing w:before="200" w:after="200"/>
        <w:jc w:val="center"/>
      </w:pPr>
      <w:r>
        <w:rPr>
          <w:b/>
          <w:bCs/>
          <w:color w:val="FFFFFF"/>
          <w:sz w:val="24"/>
          <w:szCs w:val="24"/>
          <w:rFonts w:ascii="Calibri" w:cs="Calibri" w:eastAsia="Calibri" w:hAnsi="Calibri"/>
        </w:rPr>
        <w:t xml:space="preserve">State of Urban Beekeeping –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Prepared by: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Jane Doe</w:t>
            </w:r>
          </w:p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Date: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2024‑06‑21</w:t>
            </w:r>
          </w:p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Contact: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jane.doe@example.com</w:t>
            </w:r>
          </w:p>
        </w:tc>
      </w:tr>
    </w:tbl>
    <w:p>
      <w:pPr>
        <w:spacing w:before="60"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Fonts w:ascii="Calibri" w:cs="Calibri" w:eastAsia="Calibri" w:hAnsi="Calibri"/>
        </w:rPr>
        <w:t xml:space="preserve">This brief report provides an overview of the current state of urban beekeeping across major U.S. cities, highlighting key metrics, trends, and challenges.</w:t>
      </w:r>
    </w:p>
    <w:p>
      <w:r>
        <w:br w:type="page"/>
      </w:r>
    </w:p>
    <w:p>
      <w:pPr>
        <w:shd w:fill="1B5E20" w:val="clear"/>
        <w:spacing w:before="360" w:after="140"/>
      </w:pPr>
      <w:r>
        <w:rPr>
          <w:b/>
          <w:bCs/>
          <w:color w:val="FFFFFF"/>
          <w:sz w:val="28"/>
          <w:szCs w:val="28"/>
          <w:rFonts w:ascii="Georgia" w:cs="Georgia" w:eastAsia="Georgia" w:hAnsi="Georgia"/>
        </w:rPr>
        <w:t xml:space="preserve">  Executive Summary</w:t>
      </w:r>
    </w:p>
    <w:p>
      <w:pPr>
        <w:spacing w:before="60"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Fonts w:ascii="Calibri" w:cs="Calibri" w:eastAsia="Calibri" w:hAnsi="Calibri"/>
        </w:rPr>
        <w:t xml:space="preserve">Urban beekeeping continues to grow as cities embrace pollinator-friendly initiatives. Across four major metropolitan areas, a total of 445 hives produce approximately 1140 kg of honey annually, averaging 2.56 kg per hive.</w:t>
      </w:r>
    </w:p>
    <w:p>
      <w:pPr>
        <w:pBdr>
          <w:left w:val="thick" w:color="2E7D32" w:sz="18" w:space="8"/>
        </w:pBdr>
        <w:spacing w:before="260" w:after="100"/>
      </w:pPr>
      <w:r>
        <w:rPr>
          <w:b/>
          <w:bCs/>
          <w:color w:val="2E7D32"/>
          <w:sz w:val="24"/>
          <w:szCs w:val="24"/>
          <w:rFonts w:ascii="Georgia" w:cs="Georgia" w:eastAsia="Georgia" w:hAnsi="Georgia"/>
        </w:rPr>
        <w:t xml:space="preserve">Current Landscape</w:t>
      </w:r>
    </w:p>
    <w:p>
      <w:pPr>
        <w:spacing w:before="60"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Fonts w:ascii="Calibri" w:cs="Calibri" w:eastAsia="Calibri" w:hAnsi="Calibri"/>
        </w:rPr>
        <w:t xml:space="preserve">Cities are integrating rooftop apiaries, community gardens, and educational programs to support bee health. Municipal policies vary, but most encourage citizen participation.</w:t>
      </w:r>
    </w:p>
    <w:p>
      <w:pPr>
        <w:pBdr>
          <w:left w:val="thick" w:color="2E7D32" w:sz="18" w:space="8"/>
        </w:pBdr>
        <w:spacing w:before="260" w:after="100"/>
      </w:pPr>
      <w:r>
        <w:rPr>
          <w:b/>
          <w:bCs/>
          <w:color w:val="2E7D32"/>
          <w:sz w:val="24"/>
          <w:szCs w:val="24"/>
          <w:rFonts w:ascii="Georgia" w:cs="Georgia" w:eastAsia="Georgia" w:hAnsi="Georgia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Total Hives: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445</w:t>
            </w:r>
          </w:p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Total Honey (kg):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1140</w:t>
            </w:r>
          </w:p>
          <w:p>
            <w:pPr>
              <w:spacing w:before="50" w:after="70"/>
            </w:pPr>
            <w:r>
              <w:rPr>
                <w:b/>
                <w:bCs/>
                <w:color w:val="2E7D32"/>
                <w:sz w:val="22"/>
                <w:szCs w:val="22"/>
                <w:rFonts w:ascii="Calibri" w:cs="Calibri" w:eastAsia="Calibri" w:hAnsi="Calibri"/>
              </w:rPr>
              <w:t xml:space="preserve">Average Honey per Hive (kg): </w:t>
            </w:r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2.56</w:t>
            </w:r>
          </w:p>
        </w:tc>
      </w:tr>
    </w:tbl>
    <w:p>
      <w:pPr>
        <w:spacing w:before="60"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  <w:rFonts w:ascii="Calibri" w:cs="Calibri" w:eastAsia="Calibri" w:hAnsi="Calibri"/>
        </w:rPr>
        <w:t xml:space="preserve">Detailed city‑level data: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Hives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Honey Production (kg)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Portland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120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Seattle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San Francisco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New York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color w:val="1A1A1A"/>
                <w:sz w:val="19"/>
                <w:szCs w:val="19"/>
                <w:rFonts w:ascii="Calibri" w:cs="Calibri" w:eastAsia="Calibri" w:hAnsi="Calibri"/>
              </w:rPr>
              <w:t xml:space="preserve">380</w:t>
            </w:r>
          </w:p>
        </w:tc>
      </w:tr>
    </w:tbl>
    <w:p>
      <w:pPr>
        <w:pBdr>
          <w:left w:val="thick" w:color="2E7D32" w:sz="18" w:space="8"/>
        </w:pBdr>
        <w:spacing w:before="260" w:after="100"/>
      </w:pPr>
      <w:r>
        <w:rPr>
          <w:b/>
          <w:bCs/>
          <w:color w:val="2E7D32"/>
          <w:sz w:val="24"/>
          <w:szCs w:val="24"/>
          <w:rFonts w:ascii="Georgia" w:cs="Georgia" w:eastAsia="Georgia" w:hAnsi="Georgia"/>
        </w:rPr>
        <w:t xml:space="preserve">Challenges &amp; Opportunities</w:t>
      </w:r>
    </w:p>
    <w:p>
      <w:pPr>
        <w:pStyle w:val="ListParagraph"/>
        <w:numPr>
          <w:ilvl w:val="0"/>
          <w:numId w:val="2"/>
        </w:numPr>
        <w:spacing w:before="40" w:after="55"/>
      </w:pPr>
      <w:r>
        <w:rPr>
          <w:color w:val="333333"/>
          <w:sz w:val="22"/>
          <w:szCs w:val="22"/>
          <w:rFonts w:ascii="Calibri" w:cs="Calibri" w:eastAsia="Calibri" w:hAnsi="Calibri"/>
        </w:rPr>
        <w:t xml:space="preserve">Limited green space for hive placement.</w:t>
      </w:r>
    </w:p>
    <w:p>
      <w:pPr>
        <w:pStyle w:val="ListParagraph"/>
        <w:numPr>
          <w:ilvl w:val="0"/>
          <w:numId w:val="2"/>
        </w:numPr>
        <w:spacing w:before="40" w:after="55"/>
      </w:pPr>
      <w:r>
        <w:rPr>
          <w:color w:val="333333"/>
          <w:sz w:val="22"/>
          <w:szCs w:val="22"/>
          <w:rFonts w:ascii="Calibri" w:cs="Calibri" w:eastAsia="Calibri" w:hAnsi="Calibri"/>
        </w:rPr>
        <w:t xml:space="preserve">Regulatory hurdles and zoning restrictions.</w:t>
      </w:r>
    </w:p>
    <w:p>
      <w:pPr>
        <w:pStyle w:val="ListParagraph"/>
        <w:numPr>
          <w:ilvl w:val="0"/>
          <w:numId w:val="2"/>
        </w:numPr>
        <w:spacing w:before="40" w:after="55"/>
      </w:pPr>
      <w:r>
        <w:rPr>
          <w:color w:val="333333"/>
          <w:sz w:val="22"/>
          <w:szCs w:val="22"/>
          <w:rFonts w:ascii="Calibri" w:cs="Calibri" w:eastAsia="Calibri" w:hAnsi="Calibri"/>
        </w:rPr>
        <w:t xml:space="preserve">Public awareness and education gaps.</w:t>
      </w:r>
    </w:p>
    <w:p>
      <w:pPr>
        <w:pStyle w:val="ListParagraph"/>
        <w:numPr>
          <w:ilvl w:val="0"/>
          <w:numId w:val="2"/>
        </w:numPr>
        <w:spacing w:before="40" w:after="55"/>
      </w:pPr>
      <w:r>
        <w:rPr>
          <w:color w:val="333333"/>
          <w:sz w:val="22"/>
          <w:szCs w:val="22"/>
          <w:rFonts w:ascii="Calibri" w:cs="Calibri" w:eastAsia="Calibri" w:hAnsi="Calibri"/>
        </w:rPr>
        <w:t xml:space="preserve">Potential for increased pollination services and local honey markets.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20"/>
        <w:szCs w:val="20"/>
        <w:rFonts w:ascii="Calibri" w:cs="Calibri" w:eastAsia="Calibri" w:hAnsi="Calibri"/>
      </w:rPr>
      <w:t xml:space="preserve">Jane Doe – jane.doe@example.com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888888"/>
        <w:sz w:val="20"/>
        <w:szCs w:val="20"/>
        <w:rFonts w:ascii="Calibri" w:cs="Calibri" w:eastAsia="Calibri" w:hAnsi="Calibri"/>
      </w:rPr>
      <w:t xml:space="preserve">Urban Beekeeping Report • 2024‑06‑21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2026-06-21T11:35:50.114Z</dcterms:created>
  <dcterms:modified xsi:type="dcterms:W3CDTF">2026-06-21T11:35:50.130Z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