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Module 4 Pandas Challenge</w:t>
      </w:r>
    </w:p>
    <w:p>
      <w:pPr>
        <w:pStyle w:val="Body"/>
        <w:bidi w:val="0"/>
      </w:pPr>
      <w:r>
        <w:rPr>
          <w:rtl w:val="0"/>
        </w:rPr>
        <w:t>Written Report</w:t>
      </w:r>
    </w:p>
    <w:p>
      <w:pPr>
        <w:pStyle w:val="Body"/>
        <w:bidi w:val="0"/>
      </w:pPr>
    </w:p>
    <w:p>
      <w:pPr>
        <w:pStyle w:val="Body"/>
        <w:rPr>
          <w:b w:val="1"/>
          <w:bCs w:val="1"/>
        </w:rPr>
      </w:pPr>
      <w:r>
        <w:rPr>
          <w:b w:val="1"/>
          <w:bCs w:val="1"/>
          <w:rtl w:val="0"/>
          <w:lang w:val="en-US"/>
        </w:rPr>
        <w:t>Summarises the analysis</w:t>
      </w:r>
    </w:p>
    <w:p>
      <w:pPr>
        <w:pStyle w:val="Body"/>
        <w:rPr>
          <w:b w:val="1"/>
          <w:bCs w:val="1"/>
        </w:rPr>
      </w:pPr>
    </w:p>
    <w:p>
      <w:pPr>
        <w:pStyle w:val="Body"/>
        <w:bidi w:val="0"/>
      </w:pPr>
      <w:r>
        <w:rPr>
          <w:rtl w:val="0"/>
        </w:rPr>
        <w:tab/>
        <w:t>The data of PyCitySchools are comprised of fifteen (15) unique schools with a total of 39,170 students with a total budget of $24,649,428.00 and overall passing rate of 72.81%. It also covers and compares the scores of Maths and Reading by which the average, the percent passing, and overall percentage were calculated. The scores were further broken down into school performance, by year, by school spending, by school size, and by school type.</w:t>
      </w:r>
    </w:p>
    <w:p>
      <w:pPr>
        <w:pStyle w:val="Body"/>
        <w:bidi w:val="0"/>
      </w:pPr>
    </w:p>
    <w:p>
      <w:pPr>
        <w:pStyle w:val="Body"/>
        <w:bidi w:val="0"/>
      </w:pPr>
    </w:p>
    <w:p>
      <w:pPr>
        <w:pStyle w:val="Body"/>
        <w:rPr>
          <w:b w:val="1"/>
          <w:bCs w:val="1"/>
        </w:rPr>
      </w:pPr>
      <w:r>
        <w:rPr>
          <w:b w:val="1"/>
          <w:bCs w:val="1"/>
          <w:rtl w:val="0"/>
          <w:lang w:val="en-US"/>
        </w:rPr>
        <w:t>Draws two correct conclusions or comparisons from the calculations</w:t>
      </w:r>
    </w:p>
    <w:p>
      <w:pPr>
        <w:pStyle w:val="Body"/>
        <w:bidi w:val="0"/>
      </w:pPr>
      <w:r>
        <w:rPr>
          <w:rtl w:val="0"/>
        </w:rPr>
        <w:tab/>
        <w:t>Three out of five top performing schools are Independent Schools while the bottom five are mostly Government Schools. The scores by school type also showed that the overall passing rate of Independent Schools is 6.27% higher than the Government Schools.</w:t>
      </w:r>
    </w:p>
    <w:p>
      <w:pPr>
        <w:pStyle w:val="Body"/>
        <w:bidi w:val="0"/>
      </w:pPr>
      <w:r>
        <w:rPr>
          <w:rtl w:val="0"/>
        </w:rPr>
        <w:tab/>
        <w:t xml:space="preserve">Furthermore, the scores by school spending (with ranges &lt;$585, $585-630, $630-645, and $645-680) tend to show a contrast characterised by the decreasing overall passing rate as the spending per student increases. The average maths and reading scores showed declining values as the spending range rose, as well. This is with the exception of ranges $585-630 which reflected the highest scores and overall passing rate.    </w:t>
      </w:r>
    </w:p>
    <w:p>
      <w:pPr>
        <w:pStyle w:val="Body"/>
        <w:bidi w:val="0"/>
      </w:pPr>
    </w:p>
    <w:p>
      <w:pPr>
        <w:pStyle w:val="Body"/>
        <w:bidi w:val="0"/>
      </w:pPr>
      <w: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