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74D"/>
          <w:sz w:val="56"/>
          <w:szCs w:val="56"/>
        </w:rPr>
        <w:t xml:space="preserve">B★ eCO₂ 소형 실용화 전략</w:t>
      </w:r>
    </w:p>
    <w:p>
      <w:pPr>
        <w:spacing w:after="160"/>
        <w:jc w:val="center"/>
      </w:pPr>
      <w:r>
        <w:rPr>
          <w:rFonts w:ascii="Arial" w:cs="Arial" w:eastAsia="Arial" w:hAnsi="Arial"/>
          <w:color w:val="01696F"/>
          <w:sz w:val="30"/>
          <w:szCs w:val="30"/>
        </w:rPr>
        <w:t xml:space="preserve">Chapter 1 최종 보고서 — 항목별 상세 설명서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버전 1.0  |  2026년 3월 15일  |  내부 참조용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B★ Project Team  |  egkwak@gmail.com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9900" w:sz="8"/>
              <w:left w:val="single" w:color="D19900" w:sz="12"/>
              <w:bottom w:val="single" w:color="B0C0C2" w:sz="4"/>
              <w:right w:val="single" w:color="B0C0C2" w:sz="4"/>
            </w:tcBorders>
            <w:shd w:fill="FFF9E6" w:color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본 문서는 Ch01_Final_Report_KR/EN.docx의 각 섹션(0~10)에 대한 항목별 상세 설명서입니다. 보고서의 구성 논리, 데이터 출처, 전략적 의의를 독자별로 쉽게 파악할 수 있도록 작성되었습니다.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pacing w:after="280" w:before="200"/>
        <w:jc w:val="center"/>
      </w:pPr>
      <w:r>
        <w:rPr>
          <w:rFonts w:ascii="Arial" w:cs="Arial" w:eastAsia="Arial" w:hAnsi="Arial"/>
          <w:b/>
          <w:bCs/>
          <w:color w:val="1B474D"/>
          <w:sz w:val="36"/>
          <w:szCs w:val="36"/>
        </w:rPr>
        <w:t xml:space="preserve">목  차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338"/>
        <w:gridCol w:w="1400"/>
      </w:tblGrid>
      <w:tr>
        <w:trPr>
          <w:tblHeader/>
        </w:trP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페이지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표지·KPI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표지 및 핵심 재무 KPI 패널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0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보고서 개요 및 목적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1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B★ eCO₂ 기술 비전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2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한국 시장 배경 — 3대 메가트렌드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3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응용처 우선순위 분석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4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★1순위 상세: 데이터센터 냉각·폐열재생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5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★2순위 상세: 원전·SMR·열병합 연계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6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재무 KPI — B★ 투자 케이스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7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사업화 로드맵 (3단계)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8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B-1 산출물 전체 목록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9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결론 — 왜 지금 B★인가?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10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참조 출처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부록</w:t>
            </w:r>
          </w:p>
        </w:tc>
        <w:tc>
          <w:tcPr>
            <w:tcW w:type="dxa" w:w="63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전체 보고서 목차 (Ch.1~Ch.9+)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18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표지 및 핵심 KPI 패널 — 설명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구성 의도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보고서 표지는 제목·부제·버전 정보와 함께, 5개 핵심 재무 KPI를 즉각 노출하는 구조로 설계되었습니다. 투자자나 경영진이 첫 페이지만 봐도 핵심 숫자를 파악할 수 있도록 의도된 레이아웃입니다.</w:t>
      </w:r>
    </w:p>
    <w:p>
      <w:pPr>
        <w:spacing w:after="80"/>
      </w:pPr>
      <w:r>
        <w:t xml:space="preserve"/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138"/>
        <w:gridCol w:w="1900"/>
      </w:tblGrid>
      <w:tr>
        <w:trPr>
          <w:tblHeader/>
        </w:trP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  <w:tc>
          <w:tcPr>
            <w:tcW w:type="dxa" w:w="41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1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독자 타겟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IRR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42.4%</w:t>
            </w:r>
          </w:p>
        </w:tc>
        <w:tc>
          <w:tcPr>
            <w:tcW w:type="dxa" w:w="41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Hub-S1 단독 내부수익률 — 한국 에너지 투자 최상위</w:t>
            </w:r>
          </w:p>
        </w:tc>
        <w:tc>
          <w:tcPr>
            <w:tcW w:type="dxa" w:w="1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투자자·CFO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Payback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4년</w:t>
            </w:r>
          </w:p>
        </w:tc>
        <w:tc>
          <w:tcPr>
            <w:tcW w:type="dxa" w:w="41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CAPEX $18M 회수 기간</w:t>
            </w:r>
          </w:p>
        </w:tc>
        <w:tc>
          <w:tcPr>
            <w:tcW w:type="dxa" w:w="1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투자자·사업팀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NPV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$81.7M</w:t>
            </w:r>
          </w:p>
        </w:tc>
        <w:tc>
          <w:tcPr>
            <w:tcW w:type="dxa" w:w="41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10년 순현재가치 (WACC 10%)</w:t>
            </w:r>
          </w:p>
        </w:tc>
        <w:tc>
          <w:tcPr>
            <w:tcW w:type="dxa" w:w="1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CFO·재무분석가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CAPEX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$18M</w:t>
            </w:r>
          </w:p>
        </w:tc>
        <w:tc>
          <w:tcPr>
            <w:tcW w:type="dxa" w:w="41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Hub-S1 초기 투자비</w:t>
            </w:r>
          </w:p>
        </w:tc>
        <w:tc>
          <w:tcPr>
            <w:tcW w:type="dxa" w:w="1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경영진·투자자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10년 매출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$527M</w:t>
            </w:r>
          </w:p>
        </w:tc>
        <w:tc>
          <w:tcPr>
            <w:tcW w:type="dxa" w:w="41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기본 시나리오 누적 매출</w:t>
            </w:r>
          </w:p>
        </w:tc>
        <w:tc>
          <w:tcPr>
            <w:tcW w:type="dxa" w:w="1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사업개발·파트너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1696F" w:sz="8"/>
              <w:left w:val="single" w:color="01696F" w:sz="12"/>
              <w:bottom w:val="single" w:color="B0C0C2" w:sz="4"/>
              <w:right w:val="single" w:color="B0C0C2" w:sz="4"/>
            </w:tcBorders>
            <w:shd w:fill="E8F4F5" w:color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KPI 박스 디자인: 좌측(레이블) → 중앙(수치, Gold 강조) → 우측(설명) 3열 구조. Dark Teal 배경에 Gold 숫자로 시각적 임팩트를 극대화했습니다.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0 — 보고서 개요 및 목적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보고서 전체의 "왜 이 문서가 존재하는가"를 선언하는 섹션입니다. B-1a~e 5단계 산출물을 하나의 완결 문서로 통합한다는 목적과, B★ 단독 완결 전략이라는 핵심 정책을 명시합니다.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분석 범위 4가지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6개 응용처 전수 검토 — 데이터센터, SMR, LNG, 산업 히트펌프, 화력발전, 제철 고로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5개 평가기준 가중합계: 매출조기성 25% + 기술적합도 20% + B★기술정합 20% + 정책지원도 20% + CAGR정규화 15%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한국 시장 데이터: 2024~2035 전망 (글로벌 비교 포함)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재무 시나리오: 보수·기본·낙관 3종 IRR·NPV·Payback 분석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9900" w:sz="8"/>
              <w:left w:val="single" w:color="D19900" w:sz="12"/>
              <w:bottom w:val="single" w:color="B0C0C2" w:sz="4"/>
              <w:right w:val="single" w:color="B0C0C2" w:sz="4"/>
            </w:tcBorders>
            <w:shd w:fill="FFF9E6" w:color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B★ 단독 정책 선언: 본 보고서는 eCO₂ 소형 실용화(B★) 단독 완결 전략 기준으로 작성됩니다. CSP(A) 및 한화(C) 시나리오는 참조 수준으로만 언급됩니다. 이 선언은 보고서 전체의 분석 방향을 규정하는 마스터 정책입니다.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1 — B★ eCO₂ 기술 비전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이 기술이 무엇인지, 왜 다른지를 설명합니다. 기술 검토자와 파트너를 위한 기술 차별성 제시 섹션입니다.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1.1 초임계 CO₂ 기술 개요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eCO₂는 CO₂를 31.1°C / 7.38 MPa 이상의 초임계 상태로 유지합니다. 이 상태에서 CO₂는 기체와 액체의 특성을 동시에 가져 냉각매체와 발전 작동유체로 이중 활용이 가능합니다.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tblHeader/>
        </w:trP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차별점</w:t>
            </w:r>
          </w:p>
        </w:tc>
        <w:tc>
          <w:tcPr>
            <w:tcW w:type="dxa" w:w="3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경쟁 우위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소형화</w:t>
            </w:r>
          </w:p>
        </w:tc>
        <w:tc>
          <w:tcPr>
            <w:tcW w:type="dxa" w:w="3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기존 증기터빈 대비 1/10 크기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컨테이너 모듈화 → Hub-S1 구현 가능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고효율</w:t>
            </w:r>
          </w:p>
        </w:tc>
        <w:tc>
          <w:tcPr>
            <w:tcW w:type="dxa" w:w="3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300~400°C 중온 열원에서 40~50% 열효율 향상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SMR·LNG 열원 최적 매칭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무수 운용</w:t>
            </w:r>
          </w:p>
        </w:tc>
        <w:tc>
          <w:tcPr>
            <w:tcW w:type="dxa" w:w="3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냉각탑·대용량 배관 불필요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물 소비 Zero → 내륙 입지 가능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탄소 중립</w:t>
            </w:r>
          </w:p>
        </w:tc>
        <w:tc>
          <w:tcPr>
            <w:tcW w:type="dxa" w:w="3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CO₂ 냉매 GWP=1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HFC 대비 온난화 지수 1,400배 낮음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이중 기능</w:t>
            </w:r>
          </w:p>
        </w:tc>
        <w:tc>
          <w:tcPr>
            <w:tcW w:type="dxa" w:w="3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DC 액냉 + ORC 폐열발전 단일 루프 통합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업계 유일 복합 솔루션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1.2 Hub-S1 제품 사양 해석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Hub-S1은 B★의 핵심 상용 제품입니다. 1~5 MW 모듈식 확장 구조로, DC 환경에서 즉시 운용 가능한 컨테이너(20ft/40ft) 형태로 제공됩니다.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rPr>
          <w:tblHeader/>
        </w:trP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사양 항목</w:t>
            </w:r>
          </w:p>
        </w:tc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경쟁사 대비 의미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용량</w:t>
            </w:r>
          </w:p>
        </w:tc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1~5 MW 모듈식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기존 ORC: 고정 용량 — Hub-S1은 수요에 따라 확장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열원 온도</w:t>
            </w:r>
          </w:p>
        </w:tc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250~450°C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증기터빈 500°C+ 필요 대비 낮은 열원에서도 작동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PUE 달성치</w:t>
            </w:r>
          </w:p>
        </w:tc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1.05~1.10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공기냉각 PUE 1.41 대비 26% 에너지 절감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물 소비</w:t>
            </w:r>
          </w:p>
        </w:tc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Zero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냉각탑 방식 연간 수백만 리터 소비 대비 완전 무수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1696F" w:sz="8"/>
              <w:left w:val="single" w:color="01696F" w:sz="12"/>
              <w:bottom w:val="single" w:color="B0C0C2" w:sz="4"/>
              <w:right w:val="single" w:color="B0C0C2" w:sz="4"/>
            </w:tcBorders>
            <w:shd w:fill="E8F4F5" w:color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PUE(Power Usage Effectiveness): 데이터센터 전체 소비전력 / IT 장비 소비전력. 낮을수록 효율적. 1.0이 이론적 완벽값. 공기냉각 평균 1.41 대비 Hub-S1의 1.05~1.10은 업계 최상위권입니다.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2 — 한국 시장 배경 — 3대 메가트렌드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왜 지금 한국인가를 정당화하는 외부 환경 분석(PEST 중 P·E·T)입니다. 사업 개발팀과 투자자를 위한 시장 기회 근거 섹션입니다.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2.1 ① AI 데이터센터 에너지 위기 (★1순위 촉매)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NVIDIA GB200 NVL72 기준 GPU 랙 열밀도가 3년 내 5 kW → 140 kW로 28배 급등했습니다. 공기냉각 한계(41.3 kW)를 이미 초과하여 액체냉각이 사실상 의무화 단계입니다.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238"/>
      </w:tblGrid>
      <w:tr>
        <w:trPr>
          <w:tblHeader/>
        </w:trP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B★ 사업 의미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KEPCO 신규 DC 전력 신청</w:t>
            </w:r>
          </w:p>
        </w:tc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150개, 합계 9.36 GW (2025)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한국 DC 시장 급팽창 직접 증거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서울 전력 자급률</w:t>
            </w:r>
          </w:p>
        </w:tc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11.6%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분산 에너지 필수 → eCO₂ 분산발전 기회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한국 $735B AI 이니셔티브</w:t>
            </w:r>
          </w:p>
        </w:tc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50개 신규 DC, GPU 50만 대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정부 주도 DC 투자 확대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한국 DC 시장 CAGR</w:t>
            </w:r>
          </w:p>
        </w:tc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20.4% (2024~2035)</w:t>
            </w:r>
          </w:p>
        </w:tc>
        <w:tc>
          <w:tcPr>
            <w:tcW w:type="dxa" w:w="42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6개 응용처 중 최고 성장률 → ★1순위 근거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2.2 ② 원전·SMR 르네상스 (★2순위 촉매)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한국은 원전 26기(26.05 GW)로 전력의 31.7%를 공급하는 원전 강국입니다. i-SMR SDA 신청(2026.03)과 SMR법 통과(2026.02)로 소형 원전 상업화 경로가 가속화됩니다.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타임라인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i-SMR (KHNP+KAERI)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170 MWe, SDA 신청 2026.03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승인 2028 → 상업운전 2035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SMR법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2026.02 통과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전용 인허가 프레임워크 수립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체코 APR-1400 수출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$19B 계약 (2025.06)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해외 파이프라인 확대 신호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대구 MoU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소형 원전 도시 공급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2033 상업운전 목표</w:t>
            </w:r>
          </w:p>
        </w:tc>
      </w:tr>
      <w:tr>
        <w:tc>
          <w:tcPr>
            <w:tcW w:type="dxa" w:w="2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eCO₂ 온도 매칭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SMR 열원 300~400°C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eCO₂ Brayton 최적 구간과 정확히 일치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2.3 ③ 에너지 정책 전환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5개 정책 변화가 2024~2026년 집중적으로 발효되어 eCO₂ 솔루션의 경제성과 시장 접근성을 직접 개선합니다.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438"/>
      </w:tblGrid>
      <w:tr>
        <w:trPr>
          <w:tblHeader/>
        </w:trPr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정책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발효일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eCO₂ 사업 영향</w:t>
            </w:r>
          </w:p>
        </w:tc>
      </w:tr>
      <w:tr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분산에너지활성화특별법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2024.06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DC 분산전원 + eCO₂ 발전 법적 기반 마련</w:t>
            </w:r>
          </w:p>
        </w:tc>
      </w:tr>
      <w:tr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산업용 전기요금 개편 (피크 -16.9원/kWh)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2026.04.16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eCO₂ DC냉각 경제성 직접 개선</w:t>
            </w:r>
          </w:p>
        </w:tc>
      </w:tr>
      <w:tr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SMR법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2026.02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i-SMR 프로젝트 인허가 가속</w:t>
            </w:r>
          </w:p>
        </w:tc>
      </w:tr>
      <w:tr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열펌프 재생에너지 인정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2025.12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히트펌프 수익성 향상</w:t>
            </w:r>
          </w:p>
        </w:tc>
      </w:tr>
      <w:tr>
        <w:tc>
          <w:tcPr>
            <w:tcW w:type="dxa" w:w="2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K-ETS 탄소비용 가속화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진행 중</w:t>
            </w:r>
          </w:p>
        </w:tc>
        <w:tc>
          <w:tcPr>
            <w:tcW w:type="dxa" w:w="5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탄소 중립 eCO₂ 솔루션 가치 상승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9900" w:sz="8"/>
              <w:left w:val="single" w:color="D19900" w:sz="12"/>
              <w:bottom w:val="single" w:color="B0C0C2" w:sz="4"/>
              <w:right w:val="single" w:color="B0C0C2" w:sz="4"/>
            </w:tcBorders>
            <w:shd w:fill="FFF9E6" w:color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3대 메가트렌드는 단순 시장 기회가 아닌 구조적 변화입니다. AI DC 액냉 의무화·SMR법·전기요금 개편이 2026년에 동시 작동하는 것은 B★ 진입의 골든 윈도우를 만드는 유일한 조합입니다.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3 — 응용처 우선순위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보고서 전체의 핵심 섹션입니다. 6개 응용처 중 어디에 집중할 것인가에 대한 정량적 근거를 제시합니다. 의사결정자를 위한 전략 선택의 과학적 근거 섹션입니다.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3.1 평가기준 및 가중치 — 설계 논리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5개 기준의 가중치는 B★ 사업화 전략의 우선순위를 그대로 반영합니다. 매출조기성(25%)이 가장 높은 이유는, 초기 파일럿 계약을 2026H2에 체결해야 투자 회수 타임라인(4년 Payback)이 성립하기 때문입니다.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3400"/>
        <w:gridCol w:w="3938"/>
      </w:tblGrid>
      <w:tr>
        <w:trPr>
          <w:tblHeader/>
        </w:trP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가중치</w:t>
            </w:r>
          </w:p>
        </w:tc>
        <w:tc>
          <w:tcPr>
            <w:tcW w:type="dxa" w:w="3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설계 논리</w:t>
            </w:r>
          </w:p>
        </w:tc>
        <w:tc>
          <w:tcPr>
            <w:tcW w:type="dxa" w:w="39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매출조기성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25%</w:t>
            </w:r>
          </w:p>
        </w:tc>
        <w:tc>
          <w:tcPr>
            <w:tcW w:type="dxa" w:w="3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사업화 속도 = 투자 회수 타임라인 결정</w:t>
            </w:r>
          </w:p>
        </w:tc>
        <w:tc>
          <w:tcPr>
            <w:tcW w:type="dxa" w:w="39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계약 파이프라인 선명도 + TRL 수준 (1-10)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기술적합도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20%</w:t>
            </w:r>
          </w:p>
        </w:tc>
        <w:tc>
          <w:tcPr>
            <w:tcW w:type="dxa" w:w="3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eCO₂ 기술이 해당 응용처에 실제로 적용 가능한가</w:t>
            </w:r>
          </w:p>
        </w:tc>
        <w:tc>
          <w:tcPr>
            <w:tcW w:type="dxa" w:w="39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TRL 수준 + 열원 온도 매칭 (1-10)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B★기술정합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20%</w:t>
            </w:r>
          </w:p>
        </w:tc>
        <w:tc>
          <w:tcPr>
            <w:tcW w:type="dxa" w:w="3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Hub-S1 소형 모듈 아키텍처와의 직결성</w:t>
            </w:r>
          </w:p>
        </w:tc>
        <w:tc>
          <w:tcPr>
            <w:tcW w:type="dxa" w:w="39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컨테이너 모듈 배치 가능 여부 (1-10)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정책지원도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20%</w:t>
            </w:r>
          </w:p>
        </w:tc>
        <w:tc>
          <w:tcPr>
            <w:tcW w:type="dxa" w:w="3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한국 정부 정책·보조금·인허가 지원 강도</w:t>
            </w:r>
          </w:p>
        </w:tc>
        <w:tc>
          <w:tcPr>
            <w:tcW w:type="dxa" w:w="39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발효 정책 수 + 지원 강도 (1-10)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CAGR정규화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15%</w:t>
            </w:r>
          </w:p>
        </w:tc>
        <w:tc>
          <w:tcPr>
            <w:tcW w:type="dxa" w:w="3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시장 성장 속도 반영 (높을수록 선점 효과 극대)</w:t>
            </w:r>
          </w:p>
        </w:tc>
        <w:tc>
          <w:tcPr>
            <w:tcW w:type="dxa" w:w="39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시장 CAGR을 10점 척도로 정규화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3.2 우선순위 매트릭스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000"/>
        <w:gridCol w:w="1100"/>
        <w:gridCol w:w="900"/>
        <w:gridCol w:w="3738"/>
      </w:tblGrid>
      <w:tr>
        <w:trPr>
          <w:tblHeader/>
        </w:trP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응용처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종합점수</w:t>
            </w:r>
          </w:p>
        </w:tc>
        <w:tc>
          <w:tcPr>
            <w:tcW w:type="dxa" w:w="1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 시장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  <w:tc>
          <w:tcPr>
            <w:tcW w:type="dxa" w:w="37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선정 이유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★1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데이터센터 냉각·폐열재생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9.35</w:t>
            </w:r>
          </w:p>
        </w:tc>
        <w:tc>
          <w:tcPr>
            <w:tcW w:type="dxa" w:w="1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$19,900M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20.4%</w:t>
            </w:r>
          </w:p>
        </w:tc>
        <w:tc>
          <w:tcPr>
            <w:tcW w:type="dxa" w:w="37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즉시 실행 가능 파이프라인 + 최고 CAGR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★2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원전·SMR·열병합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8.42</w:t>
            </w:r>
          </w:p>
        </w:tc>
        <w:tc>
          <w:tcPr>
            <w:tcW w:type="dxa" w:w="1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$4,500M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18.0%</w:t>
            </w:r>
          </w:p>
        </w:tc>
        <w:tc>
          <w:tcPr>
            <w:tcW w:type="dxa" w:w="37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SMR법 + i-SMR SDA 신청으로 정책 지원 최강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LNG 폐열발전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7.18</w:t>
            </w:r>
          </w:p>
        </w:tc>
        <w:tc>
          <w:tcPr>
            <w:tcW w:type="dxa" w:w="1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$3,800M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8.5%</w:t>
            </w:r>
          </w:p>
        </w:tc>
        <w:tc>
          <w:tcPr>
            <w:tcW w:type="dxa" w:w="37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Phase 2에서 SMR 연계 후 확장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산업 히트펌프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6.73</w:t>
            </w:r>
          </w:p>
        </w:tc>
        <w:tc>
          <w:tcPr>
            <w:tcW w:type="dxa" w:w="1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$8,000M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7.9%</w:t>
            </w:r>
          </w:p>
        </w:tc>
        <w:tc>
          <w:tcPr>
            <w:tcW w:type="dxa" w:w="37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정부 350만대 목표 + 재생에너지 인정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화력발전 폐열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6.18</w:t>
            </w:r>
          </w:p>
        </w:tc>
        <w:tc>
          <w:tcPr>
            <w:tcW w:type="dxa" w:w="1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$3,000M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6.5%</w:t>
            </w:r>
          </w:p>
        </w:tc>
        <w:tc>
          <w:tcPr>
            <w:tcW w:type="dxa" w:w="37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에너지 전환기 관찰 유지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제철 고로 폐열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5.29</w:t>
            </w:r>
          </w:p>
        </w:tc>
        <w:tc>
          <w:tcPr>
            <w:tcW w:type="dxa" w:w="1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$2,200M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6.0%</w:t>
            </w:r>
          </w:p>
        </w:tc>
        <w:tc>
          <w:tcPr>
            <w:tcW w:type="dxa" w:w="37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장기 R&amp;D 대상, Phase 3 이후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1696F" w:sz="8"/>
              <w:left w:val="single" w:color="01696F" w:sz="12"/>
              <w:bottom w:val="single" w:color="B0C0C2" w:sz="4"/>
              <w:right w:val="single" w:color="B0C0C2" w:sz="4"/>
            </w:tcBorders>
            <w:shd w:fill="E8F4F5" w:color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산업 히트펌프(4순위)가 KR 시장 규모($8,000M)는 ★1 DC냉각($19,900M) 다음으로 크지만 CAGR(7.9%)과 매출조기성이 낮아 4순위에 배치되었습니다. 즉시 사업화보다 정책 연계 후 중기 진입이 적합합니다.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3.3 버블차트 읽는 법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X축: 종합점수(높을수록 우선) | Y축: CAGR(높을수록 성장 빠름) | 버블 크기: 한국 시장규모(클수록 TAM 큼)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★1(DC냉각)과 ★2(SMR)가 우측 상단 "즉시 실행" 사분면에 위치 — 높은 점수 + 높은 CAGR + 큰 버블의 이상적 조합입니다.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4 — ★1순위 상세: 데이터센터 냉각·폐열재생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★1순위 응용처에 대한 심층 시장 분석과 B★ 솔루션 차별점을 설명합니다. 잠재 고객(삼성SDS, SK텔레콤 등)과의 미팅 준비 자료로 직접 활용 가능합니다.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4.1 시장 세그먼트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0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세그먼트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2035F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B★ 타겟 여부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한국 DC 전체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$995M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$10,200M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20.4%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전체 TAM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한국 DC 냉각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$177M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$919M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17.0%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직접 TAM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한국 DC 액냉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$45M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$480M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24.0%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핵심 SAM — 가장 빠른 성장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글로벌 DC 냉각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$16.3B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$75B+</w:t>
            </w:r>
          </w:p>
        </w:tc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16.5%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글로벌 확장 레퍼런스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1696F" w:sz="8"/>
              <w:left w:val="single" w:color="01696F" w:sz="12"/>
              <w:bottom w:val="single" w:color="B0C0C2" w:sz="4"/>
              <w:right w:val="single" w:color="B0C0C2" w:sz="4"/>
            </w:tcBorders>
            <w:shd w:fill="E8F4F5" w:color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한국 DC 액냉 CAGR 24.0%는 4개 세그먼트 중 가장 빠릅니다. GPU 랙 고밀도화(5kW → 140kW)로 공기냉각이 물리적으로 불가능해지는 시점이 2026~2027년으로 예상되어, 액냉 전환 수요가 폭발적으로 증가할 전망입니다.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4.2 B★ 솔루션 차별점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38"/>
      </w:tblGrid>
      <w:tr>
        <w:trPr>
          <w:tblHeader/>
        </w:trP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차별점</w:t>
            </w:r>
          </w:p>
        </w:tc>
        <w:tc>
          <w:tcPr>
            <w:tcW w:type="dxa" w:w="3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경쟁사 대비 우위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단일 루프 통합</w:t>
            </w:r>
          </w:p>
        </w:tc>
        <w:tc>
          <w:tcPr>
            <w:tcW w:type="dxa" w:w="3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DC 액냉 + ORC 폐열발전을 단일 eCO₂ 루프로 통합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경쟁사는 냉각과 발전을 별도 시스템으로 운용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즉시 설치</w:t>
            </w:r>
          </w:p>
        </w:tc>
        <w:tc>
          <w:tcPr>
            <w:tcW w:type="dxa" w:w="3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Hub-S1 컨테이너 모듈 → 2~4주 납기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기존 시스템: 현장 시공 3~6개월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에너지 절감</w:t>
            </w:r>
          </w:p>
        </w:tc>
        <w:tc>
          <w:tcPr>
            <w:tcW w:type="dxa" w:w="3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PUE 1.05~1.10 (공기냉각 1.41 대비 26% 절감)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연간 수십억 원 전력비 절감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ROI 가속화</w:t>
            </w:r>
          </w:p>
        </w:tc>
        <w:tc>
          <w:tcPr>
            <w:tcW w:type="dxa" w:w="3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폐열 발전으로 DC 전력비 15~20% 절감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냉각 비용이 수익으로 전환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2026 파이프라인</w:t>
            </w:r>
          </w:p>
        </w:tc>
        <w:tc>
          <w:tcPr>
            <w:tcW w:type="dxa" w:w="3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삼성SDS 과천·SK텔레콤 성수 DC PoC 목표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즉시 실행 가능한 계약 파이프라인 존재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5 — ★2순위 상세: 원전·SMR·열병합 연계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★2순위 응용처에 대한 심층 분석입니다. KHNP·KAERI와의 기술 협력 및 MOU 준비를 위한 배경 자료로 활용됩니다.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5.1 한국 원전·SMR 현황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38"/>
      </w:tblGrid>
      <w:tr>
        <w:trPr>
          <w:tblHeader/>
        </w:trP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현황</w:t>
            </w:r>
          </w:p>
        </w:tc>
        <w:tc>
          <w:tcPr>
            <w:tcW w:type="dxa" w:w="4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전략적 의의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원전 용량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26기, 26.05 GW, 전력의 31.7%</w:t>
            </w:r>
          </w:p>
        </w:tc>
        <w:tc>
          <w:tcPr>
            <w:tcW w:type="dxa" w:w="4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한국은 원전 기반 에너지 체계 — 생태계 접근 용이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i-SMR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170 MWe, KHNP+KAERI 공동 개발</w:t>
            </w:r>
          </w:p>
        </w:tc>
        <w:tc>
          <w:tcPr>
            <w:tcW w:type="dxa" w:w="4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2028 SDA 승인 시 eCO₂ MOU 타이밍 최적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SMR법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2026.02 통과</w:t>
            </w:r>
          </w:p>
        </w:tc>
        <w:tc>
          <w:tcPr>
            <w:tcW w:type="dxa" w:w="4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전용 인허가 → 진입 장벽 대폭 완화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체코 $19B 수출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2025.06 APR-1400 계약</w:t>
            </w:r>
          </w:p>
        </w:tc>
        <w:tc>
          <w:tcPr>
            <w:tcW w:type="dxa" w:w="4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KHNP 글로벌 파이프라인 → 해외 동반 진출 기회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대구 MoU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소형 원전 도시 공급, 2033 목표</w:t>
            </w:r>
          </w:p>
        </w:tc>
        <w:tc>
          <w:tcPr>
            <w:tcW w:type="dxa" w:w="4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지역 분산 열공급 모델에 eCO₂ CHP 통합 가능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5.2 eCO₂ × SMR 시너지 심층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시너지 포인트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수치 근거</w:t>
            </w:r>
          </w:p>
        </w:tc>
      </w:tr>
      <w:tr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온도 최적 매칭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SMR 열원 300~400°C = eCO₂ Brayton 최적 구간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정확한 열원 온도 일치 → 효율 최대화</w:t>
            </w:r>
          </w:p>
        </w:tc>
      </w:tr>
      <w:tr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열병합 통합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전력 + 열 동시 공급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CHP 효율: 단순 발전(40%) 대비 80%+ 가능</w:t>
            </w:r>
          </w:p>
        </w:tc>
      </w:tr>
      <w:tr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무수 냉각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원전 용수 문제 해소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내륙 입지 가능 → 사이트 선택 폭 확대</w:t>
            </w:r>
          </w:p>
        </w:tc>
      </w:tr>
      <w:tr>
        <w:tc>
          <w:tcPr>
            <w:tcW w:type="dxa" w:w="2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MOU 타임라인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i-SMR SDA 승인(2028) 전후 MOU 추진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2026 Q4 사전 미팅 → 2028 공동개발 MOU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5.3 시장 전망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4438"/>
      </w:tblGrid>
      <w:tr>
        <w:trPr>
          <w:tblHeader/>
        </w:trP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시장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2035F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한국 CHP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$1,900M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$3,000M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5.8%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안정적 성장 — 기존 발전소 대체 수요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글로벌 SMR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$2.0B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$45.0B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18.0%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폭발적 성장 — 첫 상업 프로젝트 착수 단계</w:t>
            </w:r>
          </w:p>
        </w:tc>
      </w:tr>
      <w:tr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B★ SAM(SMR)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$1,200M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—</w:t>
            </w:r>
          </w:p>
        </w:tc>
        <w:tc>
          <w:tcPr>
            <w:tcW w:type="dxa" w:w="4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글로벌 SMR의 2.7% 점유가 목표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6 — 재무 KPI — B★ 투자 케이스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투자자·CFO를 위한 재무 케이스 전체입니다. 3개 시나리오의 IRR·NPV·Payback과, TAM→SAM→실제 매출 퍼널을 정량화합니다.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6.1 시나리오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4638"/>
      </w:tblGrid>
      <w:tr>
        <w:trPr>
          <w:tblHeader/>
        </w:trP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보수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기본 ★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낙관</w:t>
            </w:r>
          </w:p>
        </w:tc>
        <w:tc>
          <w:tcPr>
            <w:tcW w:type="dxa" w:w="4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가정 차이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IRR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36.4%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42.4%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52.0%</w:t>
            </w:r>
          </w:p>
        </w:tc>
        <w:tc>
          <w:tcPr>
            <w:tcW w:type="dxa" w:w="4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계약 체결 속도 + 매출 성장률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Payback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5년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4년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3년</w:t>
            </w:r>
          </w:p>
        </w:tc>
        <w:tc>
          <w:tcPr>
            <w:tcW w:type="dxa" w:w="4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파일럿 계약 시점 차이 (2026H2 기준)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NPV (10년)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$52.3M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$81.7M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$145.2M</w:t>
            </w:r>
          </w:p>
        </w:tc>
        <w:tc>
          <w:tcPr>
            <w:tcW w:type="dxa" w:w="4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WACC 10% 동일, 매출 성장률 차이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CAPEX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$18M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$18M</w:t>
            </w:r>
          </w:p>
        </w:tc>
        <w:tc>
          <w:tcPr>
            <w:tcW w:type="dxa" w:w="1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$18M</w:t>
            </w:r>
          </w:p>
        </w:tc>
        <w:tc>
          <w:tcPr>
            <w:tcW w:type="dxa" w:w="4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3시나리오 모두 동일 — CAPEX 변수 아님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1696F" w:sz="8"/>
              <w:left w:val="single" w:color="01696F" w:sz="12"/>
              <w:bottom w:val="single" w:color="B0C0C2" w:sz="4"/>
              <w:right w:val="single" w:color="B0C0C2" w:sz="4"/>
            </w:tcBorders>
            <w:shd w:fill="E8F4F5" w:color="E8F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기본 시나리오 4개 가정: ① CAPEX $18M (Hub-S1 단독) ② WACC 10% ③ DC냉각 Hub-S1 단독 사업화 ④ 2026H2 첫 파일럿 계약 체결. 이 4가지 가정이 모두 성립할 경우 IRR 42.4%가 달성됩니다.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6.2 사업 기회 퍼널 (TAM → SAM → 매출)</w:t>
      </w:r>
    </w:p>
    <w:tbl>
      <w:tblPr>
        <w:tblW w:type="dxa" w:w="8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38"/>
      </w:tblGrid>
      <w:tr>
        <w:trPr>
          <w:tblHeader/>
        </w:trPr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2028E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2030F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2033F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2035F</w:t>
            </w:r>
          </w:p>
        </w:tc>
      </w:tr>
      <w:tr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TAM (전체 목표시장)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$1.6B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$3.2B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$6.0B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$9.8B</w:t>
            </w:r>
          </w:p>
        </w:tc>
      </w:tr>
      <w:tr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SAM (DC냉각 서비스 시장)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$120M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$280M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$550M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$920M</w:t>
            </w:r>
          </w:p>
        </w:tc>
      </w:tr>
      <w:tr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Hub-S1 매출 예측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$20M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$85M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$200M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$527M</w:t>
            </w:r>
          </w:p>
        </w:tc>
      </w:tr>
      <w:tr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단위 CAPEX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$18M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$16M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$14M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$12M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7A7974"/>
          <w:sz w:val="19"/>
          <w:szCs w:val="19"/>
        </w:rPr>
        <w:t xml:space="preserve">SAM 대비 Hub-S1 매출 점유율: 2028E 16.7% → 2035F 57.3% — 시장 점유율이 빠르게 상승하는 구조입니다.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7 — 사업화 로드맵 (3단계)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언제, 무엇을, 누구와 실행하는가의 실행 계획입니다. 사업팀·파트너십팀의 분기별 액션 아이템으로 직접 활용합니다.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2200"/>
        <w:gridCol w:w="3538"/>
      </w:tblGrid>
      <w:tr>
        <w:trPr>
          <w:tblHeader/>
        </w:trP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목표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파트너</w:t>
            </w:r>
          </w:p>
        </w:tc>
        <w:tc>
          <w:tcPr>
            <w:tcW w:type="dxa" w:w="35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성공 조건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2026~2028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DC냉각 파일럿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삼성SDS, SK텔레콤, KEPCO</w:t>
            </w:r>
          </w:p>
        </w:tc>
        <w:tc>
          <w:tcPr>
            <w:tcW w:type="dxa" w:w="35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Hub-S1 PoC 계약 + 전력 우선공급 확보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2028~2032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SMR+LNG 연계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KHNP, LNG CCGT 운영사, 제조사</w:t>
            </w:r>
          </w:p>
        </w:tc>
        <w:tc>
          <w:tcPr>
            <w:tcW w:type="dxa" w:w="35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i-SMR MOU + LNG eCO₂ 보텀사이클 LOI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2032~2035+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산업 확장</w:t>
            </w:r>
          </w:p>
        </w:tc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POSCO, 현대제철, KETEP</w:t>
            </w:r>
          </w:p>
        </w:tc>
        <w:tc>
          <w:tcPr>
            <w:tcW w:type="dxa" w:w="35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KETEP R&amp;D 과제 + 글로벌 SMR 수출 패키지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7.1 2026 즉시 실행 항목 — 분기별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600"/>
        <w:gridCol w:w="3838"/>
      </w:tblGrid>
      <w:tr>
        <w:trPr>
          <w:tblHeader/>
        </w:trPr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분기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성공 기준</w:t>
            </w:r>
          </w:p>
        </w:tc>
      </w:tr>
      <w:tr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Q2 2026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Hub-S1 모듈 최종 설계 확정 + 제조사 RFQ 발송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기술팀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제조사 3개사 이상 견적서 수령</w:t>
            </w:r>
          </w:p>
        </w:tc>
      </w:tr>
      <w:tr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Q3 2026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삼성SDS 과천 DC / SK텔레콤 성수 DC PoC 제안서 제출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사업개발팀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PoC 제안서 접수 확인 + 내부 검토 착수</w:t>
            </w:r>
          </w:p>
        </w:tc>
      </w:tr>
      <w:tr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Q3 2026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KEPCO 분산에너지 특구 전력 우선공급 신청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정부관계팀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신청서 제출 + 담당자 면담</w:t>
            </w:r>
          </w:p>
        </w:tc>
      </w:tr>
      <w:tr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Q4 2026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KHNP i-SMR 연구소 사전 미팅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기술팀+사업팀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기술 브리핑 완료 + MOU 초안 협의</w:t>
            </w:r>
          </w:p>
        </w:tc>
      </w:tr>
      <w:tr>
        <w:tc>
          <w:tcPr>
            <w:tcW w:type="dxa" w:w="1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Q4 2026</w:t>
            </w:r>
          </w:p>
        </w:tc>
        <w:tc>
          <w:tcPr>
            <w:tcW w:type="dxa" w:w="3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KETEP eCO₂ R&amp;D 과제 사전 기획</w:t>
            </w:r>
          </w:p>
        </w:tc>
        <w:tc>
          <w:tcPr>
            <w:tcW w:type="dxa" w:w="16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R&amp;D팀</w:t>
            </w:r>
          </w:p>
        </w:tc>
        <w:tc>
          <w:tcPr>
            <w:tcW w:type="dxa" w:w="38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2027 공모 기획서 초안 완성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8 — B-1 산출물 전체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B-1f(이 보고서)를 포함한 B-1 전체 산출물 16개 파일(KR+EN 쌍)의 인덱스입니다. 프로젝트 관리·감사·버전 추적을 위한 공식 기록입니다.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900"/>
        <w:gridCol w:w="2400"/>
        <w:gridCol w:w="3038"/>
      </w:tblGrid>
      <w:tr>
        <w:trPr>
          <w:tblHeader/>
        </w:trP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  <w:tc>
          <w:tcPr>
            <w:tcW w:type="dxa" w:w="3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활용처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B-1a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Application_Priority_Matrix + Market_Data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CSV×4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6개 응용처 스코어링 + 시장 데이터</w:t>
            </w:r>
          </w:p>
        </w:tc>
        <w:tc>
          <w:tcPr>
            <w:tcW w:type="dxa" w:w="3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섹션3 테이블 근거 데이터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B-1b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Bubble_Priority + Market_Forecast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PNG×4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버블차트 + 성장 막대차트</w:t>
            </w:r>
          </w:p>
        </w:tc>
        <w:tc>
          <w:tcPr>
            <w:tcW w:type="dxa" w:w="3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섹션3·4 차트 삽입 소스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B-1c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Intro_Vision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DOCX×2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서론·비전 Word (차트 2종 내장)</w:t>
            </w:r>
          </w:p>
        </w:tc>
        <w:tc>
          <w:tcPr>
            <w:tcW w:type="dxa" w:w="3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투자자·파트너 배포용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B-1d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Market_Model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XLSX×2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재무 보조표 6시트 (수식, 3시나리오)</w:t>
            </w:r>
          </w:p>
        </w:tc>
        <w:tc>
          <w:tcPr>
            <w:tcW w:type="dxa" w:w="3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CFO·재무분석가 검증용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B-1e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Summary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PPTX×2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10슬라이드 요약 덱</w:t>
            </w:r>
          </w:p>
        </w:tc>
        <w:tc>
          <w:tcPr>
            <w:tcW w:type="dxa" w:w="3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경영진 프레젠테이션</w:t>
            </w:r>
          </w:p>
        </w:tc>
      </w:tr>
      <w:tr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B-1f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Final_Report</w:t>
            </w:r>
          </w:p>
        </w:tc>
        <w:tc>
          <w:tcPr>
            <w:tcW w:type="dxa" w:w="9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DOCX×2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최종 통합 보고서 (본 문서)</w:t>
            </w:r>
          </w:p>
        </w:tc>
        <w:tc>
          <w:tcPr>
            <w:tcW w:type="dxa" w:w="3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공식 사업화 전략 레퍼런스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9 — 결론 — 왜 지금 B★인가?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이 섹션의 역할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보고서 전체의 전략적 판단을 압축합니다. 최종 의사결정자가 "투자 승인"을 내릴 수 있도록 3개 핵심 결론을 강조 박스로 제시합니다.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038"/>
      </w:tblGrid>
      <w:tr>
        <w:trPr>
          <w:tblHeader/>
        </w:trP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결론</w:t>
            </w:r>
          </w:p>
        </w:tc>
        <w:tc>
          <w:tcPr>
            <w:tcW w:type="dxa" w:w="4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주장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01696F" w:color="01696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근거 데이터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결론 1: 집중-순차 전략</w:t>
            </w:r>
          </w:p>
        </w:tc>
        <w:tc>
          <w:tcPr>
            <w:tcW w:type="dxa" w:w="4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★1 DC냉각에서 조기 매출 실현 → ★2 SMR·LNG 순차 확장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IRR 42.4% 달성 최적 경로 (섹션6)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결론 2: 선점 기회</w:t>
            </w:r>
          </w:p>
        </w:tc>
        <w:tc>
          <w:tcPr>
            <w:tcW w:type="dxa" w:w="4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경쟁사가 아직 소형 eCO₂ 복합 솔루션 미보유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특허·파트너십·파이프라인 선점 유일한 시점</w:t>
            </w:r>
          </w:p>
        </w:tc>
      </w:tr>
      <w:tr>
        <w:tc>
          <w:tcPr>
            <w:tcW w:type="dxa" w:w="1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결론 3: 투자 매력도</w:t>
            </w:r>
          </w:p>
        </w:tc>
        <w:tc>
          <w:tcPr>
            <w:tcW w:type="dxa" w:w="4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CAPEX $18M 대비 IRR 42.4% / NPV $81.7M / 4년 Payback</w:t>
            </w:r>
          </w:p>
        </w:tc>
        <w:tc>
          <w:tcPr>
            <w:tcW w:type="dxa" w:w="40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한국 에너지·IT 투자 시장 최상위 수익률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9900" w:sz="8"/>
              <w:left w:val="single" w:color="D19900" w:sz="12"/>
              <w:bottom w:val="single" w:color="B0C0C2" w:sz="4"/>
              <w:right w:val="single" w:color="B0C0C2" w:sz="4"/>
            </w:tcBorders>
            <w:shd w:fill="FFF9E6" w:color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"2026년은 B★ eCO₂ 기술의 시장 진입 골든 윈도우입니다. AI DC 액냉 의무화·SMR법·전기요금 개편의 3대 촉매가 동시에 작동하는 현 시점은 퍼스트 무버 포지션을 확보할 수 있는 유일한 기회입니다." — B★ Ch.1 최종 결론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9.1 Ch.2 준비 — 즉시 착수 예정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Ch.2 데이터센터 냉각 심층 분석 — 기술 스택·경쟁사·파트너십 매핑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Hub-S1 사업계획서(Business Plan) 초안 작성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삼성SDS / SK텔레콤 PoC 제안서 작성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KHNP i-SMR 연구소 기술 미팅 스케줄링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섹션 10 — 참조 출처 — 검증 가이드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251D"/>
          <w:sz w:val="30"/>
          <w:szCs w:val="30"/>
        </w:rPr>
        <w:t xml:space="preserve">출처 신뢰도 분류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800"/>
        <w:gridCol w:w="1638"/>
      </w:tblGrid>
      <w:tr>
        <w:trPr>
          <w:tblHeader/>
        </w:trP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신뢰도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KEPCO (2025)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https://home.kepco.co.kr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정부 공기업 공식 발표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최고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NVIDIA GB200 NVL72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https://www.nvidia.com/en-us/data-center/gb200-nvl72/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제조사 공식 사양서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최고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Mordor Intelligence (2025)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mordorintelligence.com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전문 시장조사기관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Theia Global (2026) i-SMR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https://www.theia.global/...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원전 전문 미디어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NEI Magazine (2026) SMR법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https://www.neimagazine.com/...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원전 업계 전문지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McKinsey Global Institute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mckinsey.com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글로벌 컨설팅 리서치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IEA (2025)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https://www.iea.org/...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국제에너지기구 공식 데이터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최고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KETEP (2024)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https://www.ketep.re.kr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한국 정부 에너지기술평가원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최고</w:t>
            </w:r>
          </w:p>
        </w:tc>
      </w:tr>
      <w:tr>
        <w:tc>
          <w:tcPr>
            <w:tcW w:type="dxa" w:w="22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B★ Notion 자체 분석</w:t>
            </w:r>
          </w:p>
        </w:tc>
        <w:tc>
          <w:tcPr>
            <w:tcW w:type="dxa" w:w="30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notion.so/32455ed...</w:t>
            </w:r>
          </w:p>
        </w:tc>
        <w:tc>
          <w:tcPr>
            <w:tcW w:type="dxa" w:w="18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내부 분석 (1차 합성)</w:t>
            </w:r>
          </w:p>
        </w:tc>
        <w:tc>
          <w:tcPr>
            <w:tcW w:type="dxa" w:w="16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중간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74D"/>
          <w:sz w:val="40"/>
          <w:szCs w:val="40"/>
        </w:rPr>
        <w:t xml:space="preserve">부록 — B★ 전체 보고서 목차 (Ch.1 ~ Ch.9+)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B★ eCO₂ 소형 실용화 전략 보고서는 총 12개 챕터로 구성됩니다. Ch.1이 완성된 현재, Ch.2부터 순차적으로 진행합니다.</w:t>
      </w:r>
    </w:p>
    <w:p>
      <w:pPr>
        <w:spacing w:after="80"/>
      </w:pPr>
      <w:r>
        <w:t xml:space="preserve"/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100"/>
        <w:gridCol w:w="1438"/>
      </w:tblGrid>
      <w:tr>
        <w:trPr>
          <w:tblHeader/>
        </w:trP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챕터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1B474D" w:color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74D"/>
                <w:sz w:val="19"/>
                <w:szCs w:val="19"/>
              </w:rPr>
              <w:t xml:space="preserve">Ch.1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9"/>
                <w:szCs w:val="19"/>
              </w:rPr>
              <w:t xml:space="preserve">응용처 우선순위 분석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6개 응용처 스코어링, 시장 분석, 재무 KPI, 3단계 로드맵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3CC" w:color="FFF3CC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474D"/>
                <w:sz w:val="19"/>
                <w:szCs w:val="19"/>
              </w:rPr>
              <w:t xml:space="preserve">✅ 완료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251D"/>
                <w:sz w:val="19"/>
                <w:szCs w:val="19"/>
              </w:rPr>
              <w:t xml:space="preserve">Ch.2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8251D"/>
                <w:sz w:val="19"/>
                <w:szCs w:val="19"/>
              </w:rPr>
              <w:t xml:space="preserve">데이터센터 냉각·폐열재생 심층 분석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기술 스택, 경쟁사 매핑, 파트너십, PoC 설계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E0F2F4" w:color="E0F2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착수 예정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Ch.3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원전·SMR·열병합 연계 심층 분석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i-SMR 기술 연동, KHNP 협력 구조, 열병합 경제성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Ch.4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LNG·화력발전 폐열발전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CCGT eCO₂ 보텀사이클, 효율 분석, 시장 진입 전략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Ch.5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산업 히트펌프 (제철·석화)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POSCO·현대제철 적용, 고온 히트펌프 설계, ROI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Ch.6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경제성 및 재무 모델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LCOE, NPV/IRR 상세, 민감도 분석, 시나리오별 비교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Ch.7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기술 인증 및 규제 대응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IEC/IEEE/ASME 인증 로드맵, 한국·EU·미국 규제 매핑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Ch.8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사업화 전략 및 파트너십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B★ 독립 / B+C 협력 시나리오, 파트너십 생태계 맵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Ch.9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제조·공급망 전략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Hub-S1 제조 로드맵, 부품 공급망, 원가 구조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Ch.10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디지털 제어 및 AI 최적화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디지털 트윈, 예측 유지보수, AI 기반 운전 최적화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Ch.11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글로벌 확장 전략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대만·미국·유럽 진출 로드맵, 체코 APR-1400 연계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5F5F0" w:color="F5F5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  <w:tr>
        <w:tc>
          <w:tcPr>
            <w:tcW w:type="dxa" w:w="7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19"/>
                <w:szCs w:val="19"/>
              </w:rPr>
              <w:t xml:space="preserve">Ch.12</w:t>
            </w:r>
          </w:p>
        </w:tc>
        <w:tc>
          <w:tcPr>
            <w:tcW w:type="dxa" w:w="24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종합 결론 및 전략 권고</w:t>
            </w:r>
          </w:p>
        </w:tc>
        <w:tc>
          <w:tcPr>
            <w:tcW w:type="dxa" w:w="4100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B★ vs B+C 최종 비교, 2026~2035 통합 실행 계획</w:t>
            </w:r>
          </w:p>
        </w:tc>
        <w:tc>
          <w:tcPr>
            <w:tcW w:type="dxa" w:w="1438"/>
            <w:tcBorders>
              <w:top w:val="single" w:color="B0C0C2" w:sz="4"/>
              <w:left w:val="single" w:color="B0C0C2" w:sz="4"/>
              <w:bottom w:val="single" w:color="B0C0C2" w:sz="4"/>
              <w:right w:val="single" w:color="B0C0C2" w:sz="4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8251D"/>
                <w:sz w:val="19"/>
                <w:szCs w:val="19"/>
              </w:rPr>
              <w:t xml:space="preserve">⏳ 대기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19900" w:sz="8"/>
              <w:left w:val="single" w:color="D19900" w:sz="12"/>
              <w:bottom w:val="single" w:color="B0C0C2" w:sz="4"/>
              <w:right w:val="single" w:color="B0C0C2" w:sz="4"/>
            </w:tcBorders>
            <w:shd w:fill="FFF9E6" w:color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Ch.2 우선 착수 근거: ★1순위 DC냉각이 2026H2 파일럿 계약 타겟이므로, 삼성SDS·SK텔레콤 PoC 제안서 작성을 위한 기술 스택·경쟁사·파트너십 심층 분석이 가장 시급합니다.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696F" w:color="01696F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00" w:before="200"/>
        <w:jc w:val="center"/>
      </w:pPr>
      <w:r>
        <w:rPr>
          <w:rFonts w:ascii="Arial" w:cs="Arial" w:eastAsia="Arial" w:hAnsi="Arial"/>
          <w:color w:val="7A7974"/>
          <w:sz w:val="22"/>
          <w:szCs w:val="22"/>
        </w:rPr>
        <w:t xml:space="preserve">— B★ eCO₂ Ch.1 항목별 상세 설명서 완 —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A7974"/>
          <w:sz w:val="18"/>
          <w:szCs w:val="18"/>
        </w:rPr>
        <w:t xml:space="preserve">2026년 3월 15일  |  B★ Project Team  |  내부 참조용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7A7974"/>
        <w:sz w:val="16"/>
        <w:szCs w:val="16"/>
      </w:rPr>
      <w:t xml:space="preserve">B★ Project Team  |  2026-03-15  |  </w:t>
    </w:r>
    <w:r>
      <w:rPr>
        <w:rFonts w:ascii="Calibri" w:cs="Calibri" w:eastAsia="Calibri" w:hAnsi="Calibri"/>
        <w:color w:val="7A7974"/>
        <w:sz w:val="16"/>
        <w:szCs w:val="16"/>
      </w:rPr>
      <w:t xml:space="preserve">Page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974"/>
        <w:sz w:val="16"/>
        <w:szCs w:val="16"/>
      </w:rPr>
      <w:t xml:space="preserve"> /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i/>
        <w:iCs/>
        <w:color w:val="7A7974"/>
        <w:sz w:val="16"/>
        <w:szCs w:val="16"/>
      </w:rPr>
      <w:t xml:space="preserve">B★ eCO₂ 소형 실용화 전략  |  Ch.1 보고서 항목 설명서  |  내부 참조용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74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251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color w:val="0169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2026-03-15T14:13:21.116Z</dcterms:created>
  <dcterms:modified xsi:type="dcterms:W3CDTF">2026-03-15T14:13:21.121Z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