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474D"/>
          <w:sz w:val="52"/>
          <w:szCs w:val="52"/>
        </w:rPr>
        <w:t xml:space="preserve">B★ eCO₂ Compact Commercialization Strategy</w:t>
      </w:r>
    </w:p>
    <w:p>
      <w:pPr>
        <w:spacing w:after="160"/>
        <w:jc w:val="center"/>
      </w:pPr>
      <w:r>
        <w:rPr>
          <w:rFonts w:ascii="Arial" w:cs="Arial" w:eastAsia="Arial" w:hAnsi="Arial"/>
          <w:color w:val="01696F"/>
          <w:sz w:val="28"/>
          <w:szCs w:val="28"/>
        </w:rPr>
        <w:t xml:space="preserve">Chapter 1 Final Report — Section-by-Section Reference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spacing w:after="80"/>
        <w:jc w:val="center"/>
      </w:pPr>
      <w:r>
        <w:rPr>
          <w:rFonts w:ascii="Calibri" w:cs="Calibri" w:eastAsia="Calibri" w:hAnsi="Calibri"/>
          <w:color w:val="7A7974"/>
          <w:sz w:val="20"/>
          <w:szCs w:val="20"/>
        </w:rPr>
        <w:t xml:space="preserve">Version 1.0  |  March 15, 2026  |  Internal Reference Only</w:t>
      </w:r>
    </w:p>
    <w:p>
      <w:pPr>
        <w:spacing w:after="400"/>
        <w:jc w:val="center"/>
      </w:pPr>
      <w:r>
        <w:rPr>
          <w:rFonts w:ascii="Calibri" w:cs="Calibri" w:eastAsia="Calibri" w:hAnsi="Calibri"/>
          <w:color w:val="7A7974"/>
          <w:sz w:val="20"/>
          <w:szCs w:val="20"/>
        </w:rPr>
        <w:t xml:space="preserve">B★ Project Team  |  egkwak@gmail.com</w:t>
      </w:r>
    </w:p>
    <w:p>
      <w:pPr>
        <w:spacing w:after="8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9900" w:sz="8"/>
              <w:left w:val="single" w:color="D19900" w:sz="12"/>
              <w:bottom w:val="single" w:color="B0C0C2" w:sz="4"/>
              <w:right w:val="single" w:color="B0C0C2" w:sz="4"/>
            </w:tcBorders>
            <w:shd w:fill="FFF9E6" w:color="FFF9E6"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This document provides a section-by-section reference guide for Ch01_Final_Report_KR/EN.docx (Sections 0–10). It is designed to help readers of all backgrounds quickly understand the logical structure, data sources, and strategic significance of each section.</w:t>
            </w:r>
          </w:p>
        </w:tc>
      </w:tr>
    </w:tbl>
    <w:p>
      <w:pPr>
        <w:spacing w:after="80"/>
      </w:pPr>
      <w:r>
        <w:t xml:space="preserve"/>
      </w:r>
    </w:p>
    <w:p>
      <w:r>
        <w:br w:type="page"/>
      </w:r>
    </w:p>
    <w:p>
      <w:pPr>
        <w:spacing w:after="280" w:before="200"/>
        <w:jc w:val="center"/>
      </w:pPr>
      <w:r>
        <w:rPr>
          <w:rFonts w:ascii="Arial" w:cs="Arial" w:eastAsia="Arial" w:hAnsi="Arial"/>
          <w:b/>
          <w:bCs/>
          <w:color w:val="1B474D"/>
          <w:sz w:val="36"/>
          <w:szCs w:val="36"/>
        </w:rPr>
        <w:t xml:space="preserve">Table of Contents</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100"/>
        <w:gridCol w:w="6338"/>
        <w:gridCol w:w="1200"/>
      </w:tblGrid>
      <w:tr>
        <w:trPr>
          <w:tblHeader/>
        </w:trPr>
        <w:tc>
          <w:tcPr>
            <w:tcW w:type="dxa" w:w="11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Section</w:t>
            </w:r>
          </w:p>
        </w:tc>
        <w:tc>
          <w:tcPr>
            <w:tcW w:type="dxa" w:w="63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Title</w:t>
            </w:r>
          </w:p>
        </w:tc>
        <w:tc>
          <w:tcPr>
            <w:tcW w:type="dxa" w:w="1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Page</w:t>
            </w:r>
          </w:p>
        </w:tc>
      </w:tr>
      <w:tr>
        <w:tc>
          <w:tcPr>
            <w:tcW w:type="dxa" w:w="11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Cover · KPI</w:t>
            </w:r>
          </w:p>
        </w:tc>
        <w:tc>
          <w:tcPr>
            <w:tcW w:type="dxa" w:w="63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Cover Page &amp; Key Financial KPI Panel</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3</w:t>
            </w:r>
          </w:p>
        </w:tc>
      </w:tr>
      <w:tr>
        <w:tc>
          <w:tcPr>
            <w:tcW w:type="dxa" w:w="11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0</w:t>
            </w:r>
          </w:p>
        </w:tc>
        <w:tc>
          <w:tcPr>
            <w:tcW w:type="dxa" w:w="63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Report Overview &amp; Purpose</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3</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1</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 eCO₂ Technology Vision</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w:t>
            </w:r>
          </w:p>
        </w:tc>
      </w:tr>
      <w:tr>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2</w:t>
            </w:r>
          </w:p>
        </w:tc>
        <w:tc>
          <w:tcPr>
            <w:tcW w:type="dxa" w:w="6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Korean Market Context — 3 Mega-Trends</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3</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Application Priority Analysis</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7</w:t>
            </w:r>
          </w:p>
        </w:tc>
      </w:tr>
      <w:tr>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4</w:t>
            </w:r>
          </w:p>
        </w:tc>
        <w:tc>
          <w:tcPr>
            <w:tcW w:type="dxa" w:w="6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★Priority 1 Deep-Dive: DC Cooling &amp; Waste Heat Recovery</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9</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5</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★Priority 2 Deep-Dive: Nuclear / SMR / Cogeneration</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11</w:t>
            </w:r>
          </w:p>
        </w:tc>
      </w:tr>
      <w:tr>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6</w:t>
            </w:r>
          </w:p>
        </w:tc>
        <w:tc>
          <w:tcPr>
            <w:tcW w:type="dxa" w:w="6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Financial KPIs — B★ Investment Case</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13</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7</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Commercialization Roadmap (3 Phases)</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14</w:t>
            </w:r>
          </w:p>
        </w:tc>
      </w:tr>
      <w:tr>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8</w:t>
            </w:r>
          </w:p>
        </w:tc>
        <w:tc>
          <w:tcPr>
            <w:tcW w:type="dxa" w:w="6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B-1 Deliverables Index</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15</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9</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Conclusion — Why B★, Why Now?</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16</w:t>
            </w:r>
          </w:p>
        </w:tc>
      </w:tr>
      <w:tr>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10</w:t>
            </w:r>
          </w:p>
        </w:tc>
        <w:tc>
          <w:tcPr>
            <w:tcW w:type="dxa" w:w="6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Reference Sources</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17</w:t>
            </w:r>
          </w:p>
        </w:tc>
      </w:tr>
      <w:tr>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Appendix</w:t>
            </w:r>
          </w:p>
        </w:tc>
        <w:tc>
          <w:tcPr>
            <w:tcW w:type="dxa" w:w="6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Full Report Table of Contents (Ch.1–Ch.9+)</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Cover Page &amp; Key KPI Panel — Reference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Design Intent</w:t>
      </w:r>
    </w:p>
    <w:p>
      <w:pPr>
        <w:spacing w:after="120"/>
      </w:pPr>
      <w:r>
        <w:rPr>
          <w:rFonts w:ascii="Calibri" w:cs="Calibri" w:eastAsia="Calibri" w:hAnsi="Calibri"/>
          <w:color w:val="28251D"/>
          <w:sz w:val="22"/>
          <w:szCs w:val="22"/>
        </w:rPr>
        <w:t xml:space="preserve">The report cover is structured to expose five key financial KPIs alongside the title, subtitle, and version metadata. The layout is intentionally designed so that investors and executives can capture the essential numbers from the very first page.</w:t>
      </w:r>
    </w:p>
    <w:p>
      <w:pPr>
        <w:spacing w:after="80"/>
      </w:pPr>
      <w:r>
        <w:t xml:space="preserve"/>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4238"/>
        <w:gridCol w:w="2100"/>
      </w:tblGrid>
      <w:tr>
        <w:trPr>
          <w:tblHeader/>
        </w:trPr>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KPI</w:t>
            </w:r>
          </w:p>
        </w:tc>
        <w:tc>
          <w:tcPr>
            <w:tcW w:type="dxa" w:w="11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Value</w:t>
            </w:r>
          </w:p>
        </w:tc>
        <w:tc>
          <w:tcPr>
            <w:tcW w:type="dxa" w:w="42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Meaning</w:t>
            </w:r>
          </w:p>
        </w:tc>
        <w:tc>
          <w:tcPr>
            <w:tcW w:type="dxa" w:w="21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Target Audience</w:t>
            </w:r>
          </w:p>
        </w:tc>
      </w:tr>
      <w:tr>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IRR</w:t>
            </w:r>
          </w:p>
        </w:tc>
        <w:tc>
          <w:tcPr>
            <w:tcW w:type="dxa" w:w="11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42.4%</w:t>
            </w:r>
          </w:p>
        </w:tc>
        <w:tc>
          <w:tcPr>
            <w:tcW w:type="dxa" w:w="42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Hub-S1 standalone internal rate of return — top-tier in Korean energy investment</w:t>
            </w:r>
          </w:p>
        </w:tc>
        <w:tc>
          <w:tcPr>
            <w:tcW w:type="dxa" w:w="21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Investors · CFO</w:t>
            </w:r>
          </w:p>
        </w:tc>
      </w:tr>
      <w:tr>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Payback</w:t>
            </w:r>
          </w:p>
        </w:tc>
        <w:tc>
          <w:tcPr>
            <w:tcW w:type="dxa" w:w="11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4 years</w:t>
            </w:r>
          </w:p>
        </w:tc>
        <w:tc>
          <w:tcPr>
            <w:tcW w:type="dxa" w:w="42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CAPEX $18M recovery period</w:t>
            </w:r>
          </w:p>
        </w:tc>
        <w:tc>
          <w:tcPr>
            <w:tcW w:type="dxa" w:w="21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Investors · Business Team</w:t>
            </w:r>
          </w:p>
        </w:tc>
      </w:tr>
      <w:tr>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NPV</w:t>
            </w:r>
          </w:p>
        </w:tc>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$81.7M</w:t>
            </w:r>
          </w:p>
        </w:tc>
        <w:tc>
          <w:tcPr>
            <w:tcW w:type="dxa" w:w="4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10-year net present value (WACC 10%)</w:t>
            </w:r>
          </w:p>
        </w:tc>
        <w:tc>
          <w:tcPr>
            <w:tcW w:type="dxa" w:w="2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CFO · Financial Analysts</w:t>
            </w:r>
          </w:p>
        </w:tc>
      </w:tr>
      <w:tr>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CAPEX</w:t>
            </w:r>
          </w:p>
        </w:tc>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$18M</w:t>
            </w:r>
          </w:p>
        </w:tc>
        <w:tc>
          <w:tcPr>
            <w:tcW w:type="dxa" w:w="42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Hub-S1 initial investment cost</w:t>
            </w:r>
          </w:p>
        </w:tc>
        <w:tc>
          <w:tcPr>
            <w:tcW w:type="dxa" w:w="2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Management · Investors</w:t>
            </w:r>
          </w:p>
        </w:tc>
      </w:tr>
      <w:tr>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10-yr Revenue</w:t>
            </w:r>
          </w:p>
        </w:tc>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$527M</w:t>
            </w:r>
          </w:p>
        </w:tc>
        <w:tc>
          <w:tcPr>
            <w:tcW w:type="dxa" w:w="4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Base scenario cumulative revenue</w:t>
            </w:r>
          </w:p>
        </w:tc>
        <w:tc>
          <w:tcPr>
            <w:tcW w:type="dxa" w:w="2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Business Dev · Partners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1696F" w:sz="8"/>
              <w:left w:val="single" w:color="01696F" w:sz="12"/>
              <w:bottom w:val="single" w:color="B0C0C2" w:sz="4"/>
              <w:right w:val="single" w:color="B0C0C2" w:sz="4"/>
            </w:tcBorders>
            <w:shd w:fill="E8F4F5" w:color="E8F4F5"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KPI Panel Design: 3-column layout — Left (label) → Center (value, Gold emphasis) → Right (description). Dark Teal background with Gold numerals maximizes visual impact for immediate recognition.</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0 — Report Overview &amp;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declares the fundamental purpose of the report: why this document exists. It states the goal of integrating five B-1a–e deliverables into one complete document, and establishes B★ as a standalone, self-contained commercialization strategy.</w:t>
      </w:r>
    </w:p>
    <w:p>
      <w:pPr>
        <w:spacing w:after="80"/>
      </w:pPr>
      <w:r>
        <w:t xml:space="preserve"/>
      </w:r>
    </w:p>
    <w:p>
      <w:pPr>
        <w:pStyle w:val="Heading2"/>
        <w:spacing w:after="140" w:before="280"/>
      </w:pPr>
      <w:r>
        <w:rPr>
          <w:rFonts w:ascii="Arial" w:cs="Arial" w:eastAsia="Arial" w:hAnsi="Arial"/>
          <w:b/>
          <w:bCs/>
          <w:color w:val="28251D"/>
          <w:sz w:val="30"/>
          <w:szCs w:val="30"/>
        </w:rPr>
        <w:t xml:space="preserve">Four Analytical Dimensions</w:t>
      </w:r>
    </w:p>
    <w:p>
      <w:pPr>
        <w:pStyle w:val="ListParagraph"/>
        <w:numPr>
          <w:ilvl w:val="0"/>
          <w:numId w:val="2"/>
        </w:numPr>
        <w:spacing w:after="100"/>
      </w:pPr>
      <w:r>
        <w:rPr>
          <w:rFonts w:ascii="Calibri" w:cs="Calibri" w:eastAsia="Calibri" w:hAnsi="Calibri"/>
          <w:color w:val="28251D"/>
          <w:sz w:val="22"/>
          <w:szCs w:val="22"/>
        </w:rPr>
        <w:t xml:space="preserve">Comprehensive review of 6 application sectors — Data Centers, SMR, LNG, Industrial Heat Pumps, Thermal Power, Steel Blast Furnaces</w:t>
      </w:r>
    </w:p>
    <w:p>
      <w:pPr>
        <w:pStyle w:val="ListParagraph"/>
        <w:numPr>
          <w:ilvl w:val="0"/>
          <w:numId w:val="2"/>
        </w:numPr>
        <w:spacing w:after="100"/>
      </w:pPr>
      <w:r>
        <w:rPr>
          <w:rFonts w:ascii="Calibri" w:cs="Calibri" w:eastAsia="Calibri" w:hAnsi="Calibri"/>
          <w:color w:val="28251D"/>
          <w:sz w:val="22"/>
          <w:szCs w:val="22"/>
        </w:rPr>
        <w:t xml:space="preserve">5-criterion weighted scoring: Revenue Speed 25% + Technical Fit 20% + B★ Architecture Fit 20% + Policy Support 20% + CAGR Normalized 15%</w:t>
      </w:r>
    </w:p>
    <w:p>
      <w:pPr>
        <w:pStyle w:val="ListParagraph"/>
        <w:numPr>
          <w:ilvl w:val="0"/>
          <w:numId w:val="2"/>
        </w:numPr>
        <w:spacing w:after="100"/>
      </w:pPr>
      <w:r>
        <w:rPr>
          <w:rFonts w:ascii="Calibri" w:cs="Calibri" w:eastAsia="Calibri" w:hAnsi="Calibri"/>
          <w:color w:val="28251D"/>
          <w:sz w:val="22"/>
          <w:szCs w:val="22"/>
        </w:rPr>
        <w:t xml:space="preserve">Korean market data: 2024–2035 outlook (with global benchmarks)</w:t>
      </w:r>
    </w:p>
    <w:p>
      <w:pPr>
        <w:pStyle w:val="ListParagraph"/>
        <w:numPr>
          <w:ilvl w:val="0"/>
          <w:numId w:val="2"/>
        </w:numPr>
        <w:spacing w:after="100"/>
      </w:pPr>
      <w:r>
        <w:rPr>
          <w:rFonts w:ascii="Calibri" w:cs="Calibri" w:eastAsia="Calibri" w:hAnsi="Calibri"/>
          <w:color w:val="28251D"/>
          <w:sz w:val="22"/>
          <w:szCs w:val="22"/>
        </w:rPr>
        <w:t xml:space="preserve">Financial scenarios: Conservative / Base / Optimistic — IRR, NPV, Payback across 3 scenarios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9900" w:sz="8"/>
              <w:left w:val="single" w:color="D19900" w:sz="12"/>
              <w:bottom w:val="single" w:color="B0C0C2" w:sz="4"/>
              <w:right w:val="single" w:color="B0C0C2" w:sz="4"/>
            </w:tcBorders>
            <w:shd w:fill="FFF9E6" w:color="FFF9E6"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B★ Standalone Policy Declaration: This report is authored under the B★ eCO₂ Compact Commercialization standalone strategy. CSP(A) and Hanwha(C) scenarios are referenced only at a supplementary level. This declaration governs the analytical direction of the entire report.</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1 — B★ eCO₂ Technology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explains what this technology is and why it is different. It serves as the technology differentiation pitch for technical reviewers and potential partners.</w:t>
      </w:r>
    </w:p>
    <w:p>
      <w:pPr>
        <w:spacing w:after="80"/>
      </w:pPr>
      <w:r>
        <w:t xml:space="preserve"/>
      </w:r>
    </w:p>
    <w:p>
      <w:pPr>
        <w:pStyle w:val="Heading2"/>
        <w:spacing w:after="140" w:before="280"/>
      </w:pPr>
      <w:r>
        <w:rPr>
          <w:rFonts w:ascii="Arial" w:cs="Arial" w:eastAsia="Arial" w:hAnsi="Arial"/>
          <w:b/>
          <w:bCs/>
          <w:color w:val="28251D"/>
          <w:sz w:val="30"/>
          <w:szCs w:val="30"/>
        </w:rPr>
        <w:t xml:space="preserve">1.1 Supercritical CO₂ Technology Overview</w:t>
      </w:r>
    </w:p>
    <w:p>
      <w:pPr>
        <w:spacing w:after="120"/>
      </w:pPr>
      <w:r>
        <w:rPr>
          <w:rFonts w:ascii="Calibri" w:cs="Calibri" w:eastAsia="Calibri" w:hAnsi="Calibri"/>
          <w:color w:val="28251D"/>
          <w:sz w:val="22"/>
          <w:szCs w:val="22"/>
        </w:rPr>
        <w:t xml:space="preserve">eCO₂ maintains CO₂ above 31.1°C / 7.38 MPa in a supercritical state. In this state, CO₂ simultaneously exhibits properties of both gas and liquid, enabling its dual use as a cooling medium and a power generation working fluid.</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38"/>
      </w:tblGrid>
      <w:tr>
        <w:trPr>
          <w:tblHeader/>
        </w:trPr>
        <w:tc>
          <w:tcPr>
            <w:tcW w:type="dxa" w:w="1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Differentiator</w:t>
            </w:r>
          </w:p>
        </w:tc>
        <w:tc>
          <w:tcPr>
            <w:tcW w:type="dxa" w:w="38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Detail</w:t>
            </w:r>
          </w:p>
        </w:tc>
        <w:tc>
          <w:tcPr>
            <w:tcW w:type="dxa" w:w="42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Competitive Advantage</w:t>
            </w:r>
          </w:p>
        </w:tc>
      </w:tr>
      <w:tr>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Compact Size</w:t>
            </w:r>
          </w:p>
        </w:tc>
        <w:tc>
          <w:tcPr>
            <w:tcW w:type="dxa" w:w="38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1/10th the size of conventional steam turbines</w:t>
            </w:r>
          </w:p>
        </w:tc>
        <w:tc>
          <w:tcPr>
            <w:tcW w:type="dxa" w:w="42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Container modularization → Hub-S1 implementation feasible</w:t>
            </w:r>
          </w:p>
        </w:tc>
      </w:tr>
      <w:tr>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High Efficiency</w:t>
            </w:r>
          </w:p>
        </w:tc>
        <w:tc>
          <w:tcPr>
            <w:tcW w:type="dxa" w:w="38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40–50% thermal efficiency improvement at 300–400°C mid-range heat sources</w:t>
            </w:r>
          </w:p>
        </w:tc>
        <w:tc>
          <w:tcPr>
            <w:tcW w:type="dxa" w:w="42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Optimal match for SMR and LNG heat sources</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Zero Water Use</w:t>
            </w:r>
          </w:p>
        </w:tc>
        <w:tc>
          <w:tcPr>
            <w:tcW w:type="dxa" w:w="3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No cooling towers or large-scale piping required</w:t>
            </w:r>
          </w:p>
        </w:tc>
        <w:tc>
          <w:tcPr>
            <w:tcW w:type="dxa" w:w="4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Zero water consumption → inland siting possible</w:t>
            </w:r>
          </w:p>
        </w:tc>
      </w:tr>
      <w:tr>
        <w:tc>
          <w:tcPr>
            <w:tcW w:type="dxa" w:w="1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Carbon Neutral</w:t>
            </w:r>
          </w:p>
        </w:tc>
        <w:tc>
          <w:tcPr>
            <w:tcW w:type="dxa" w:w="3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CO₂ refrigerant GWP = 1</w:t>
            </w:r>
          </w:p>
        </w:tc>
        <w:tc>
          <w:tcPr>
            <w:tcW w:type="dxa" w:w="42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1,400× lower global warming potential vs. HFC refrigerants</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Dual Function</w:t>
            </w:r>
          </w:p>
        </w:tc>
        <w:tc>
          <w:tcPr>
            <w:tcW w:type="dxa" w:w="3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DC liquid cooling + ORC waste heat generation in single integrated loop</w:t>
            </w:r>
          </w:p>
        </w:tc>
        <w:tc>
          <w:tcPr>
            <w:tcW w:type="dxa" w:w="4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Industry-unique composite solution</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1.2 Hub-S1 Product Specifications Explained</w:t>
      </w:r>
    </w:p>
    <w:p>
      <w:pPr>
        <w:spacing w:after="120"/>
      </w:pPr>
      <w:r>
        <w:rPr>
          <w:rFonts w:ascii="Calibri" w:cs="Calibri" w:eastAsia="Calibri" w:hAnsi="Calibri"/>
          <w:color w:val="28251D"/>
          <w:sz w:val="22"/>
          <w:szCs w:val="22"/>
        </w:rPr>
        <w:t xml:space="preserve">Hub-S1 is the B★ core commercial product. It is offered in a 1–5 MW modular scalable architecture, delivered in container form (20ft/40ft) for immediate deployment in data center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Specification</w:t>
            </w:r>
          </w:p>
        </w:tc>
        <w:tc>
          <w:tcPr>
            <w:tcW w:type="dxa" w:w="20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Value</w:t>
            </w:r>
          </w:p>
        </w:tc>
        <w:tc>
          <w:tcPr>
            <w:tcW w:type="dxa" w:w="54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Significance vs. Competitors</w:t>
            </w:r>
          </w:p>
        </w:tc>
      </w:tr>
      <w:tr>
        <w:tc>
          <w:tcPr>
            <w:tcW w:type="dxa" w:w="2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Capacity</w:t>
            </w:r>
          </w:p>
        </w:tc>
        <w:tc>
          <w:tcPr>
            <w:tcW w:type="dxa" w:w="2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1–5 MW modular</w:t>
            </w:r>
          </w:p>
        </w:tc>
        <w:tc>
          <w:tcPr>
            <w:tcW w:type="dxa" w:w="54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Conventional ORC: fixed capacity — Hub-S1 scales on demand</w:t>
            </w:r>
          </w:p>
        </w:tc>
      </w:tr>
      <w:tr>
        <w:tc>
          <w:tcPr>
            <w:tcW w:type="dxa" w:w="2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Heat Source Temp</w:t>
            </w:r>
          </w:p>
        </w:tc>
        <w:tc>
          <w:tcPr>
            <w:tcW w:type="dxa" w:w="2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250–450°C</w:t>
            </w:r>
          </w:p>
        </w:tc>
        <w:tc>
          <w:tcPr>
            <w:tcW w:type="dxa" w:w="54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Operates at lower heat sources vs. steam turbines requiring 500°C+</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PUE Achievement</w:t>
            </w:r>
          </w:p>
        </w:tc>
        <w:tc>
          <w:tcPr>
            <w:tcW w:type="dxa" w:w="2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1.05–1.10</w:t>
            </w:r>
          </w:p>
        </w:tc>
        <w:tc>
          <w:tcPr>
            <w:tcW w:type="dxa" w:w="54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26% energy savings vs. air cooling PUE of 1.41</w:t>
            </w:r>
          </w:p>
        </w:tc>
      </w:tr>
      <w:tr>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Water Consumption</w:t>
            </w:r>
          </w:p>
        </w:tc>
        <w:tc>
          <w:tcPr>
            <w:tcW w:type="dxa" w:w="2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Zero</w:t>
            </w:r>
          </w:p>
        </w:tc>
        <w:tc>
          <w:tcPr>
            <w:tcW w:type="dxa" w:w="54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Completely waterless vs. millions of liters/year for cooling tower systems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1696F" w:sz="8"/>
              <w:left w:val="single" w:color="01696F" w:sz="12"/>
              <w:bottom w:val="single" w:color="B0C0C2" w:sz="4"/>
              <w:right w:val="single" w:color="B0C0C2" w:sz="4"/>
            </w:tcBorders>
            <w:shd w:fill="E8F4F5" w:color="E8F4F5"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PUE (Power Usage Effectiveness): Total data center power consumption ÷ IT equipment power consumption. Lower = more efficient. 1.0 is the theoretical ideal. Hub-S1's 1.05–1.10 is top-tier vs. the air-cooling average of 1.41.</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2 — Korean Market Context: 3 Mega-Trends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justifies "why Korea, why now" — an external environment analysis (P·E·T from PEST). It provides market opportunity evidence for the business development team and investors.</w:t>
      </w:r>
    </w:p>
    <w:p>
      <w:pPr>
        <w:spacing w:after="80"/>
      </w:pPr>
      <w:r>
        <w:t xml:space="preserve"/>
      </w:r>
    </w:p>
    <w:p>
      <w:pPr>
        <w:pStyle w:val="Heading2"/>
        <w:spacing w:after="140" w:before="280"/>
      </w:pPr>
      <w:r>
        <w:rPr>
          <w:rFonts w:ascii="Arial" w:cs="Arial" w:eastAsia="Arial" w:hAnsi="Arial"/>
          <w:b/>
          <w:bCs/>
          <w:color w:val="28251D"/>
          <w:sz w:val="30"/>
          <w:szCs w:val="30"/>
        </w:rPr>
        <w:t xml:space="preserve">2.1 ① AI Data Center Energy Crisis (★Priority 1 Catalyst)</w:t>
      </w:r>
    </w:p>
    <w:p>
      <w:pPr>
        <w:spacing w:after="120"/>
      </w:pPr>
      <w:r>
        <w:rPr>
          <w:rFonts w:ascii="Calibri" w:cs="Calibri" w:eastAsia="Calibri" w:hAnsi="Calibri"/>
          <w:color w:val="28251D"/>
          <w:sz w:val="22"/>
          <w:szCs w:val="22"/>
        </w:rPr>
        <w:t xml:space="preserve">GPU rack thermal density has surged 28× in three years — from 5 kW to 140 kW per rack (NVIDIA GB200 NVL72). This already exceeds the air cooling limit of 41.3 kW, making liquid cooling effectively mandatory.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tblHeader/>
        </w:trPr>
        <w:tc>
          <w:tcPr>
            <w:tcW w:type="dxa" w:w="26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Metric</w:t>
            </w:r>
          </w:p>
        </w:tc>
        <w:tc>
          <w:tcPr>
            <w:tcW w:type="dxa" w:w="28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Value</w:t>
            </w:r>
          </w:p>
        </w:tc>
        <w:tc>
          <w:tcPr>
            <w:tcW w:type="dxa" w:w="42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B★ Business Implication</w:t>
            </w:r>
          </w:p>
        </w:tc>
      </w:tr>
      <w:tr>
        <w:tc>
          <w:tcPr>
            <w:tcW w:type="dxa" w:w="2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KEPCO New DC Power Applications</w:t>
            </w:r>
          </w:p>
        </w:tc>
        <w:tc>
          <w:tcPr>
            <w:tcW w:type="dxa" w:w="28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150 DCs, total 9.36 GW (2025)</w:t>
            </w:r>
          </w:p>
        </w:tc>
        <w:tc>
          <w:tcPr>
            <w:tcW w:type="dxa" w:w="42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Direct evidence of explosive Korean DC market expansion</w:t>
            </w:r>
          </w:p>
        </w:tc>
      </w:tr>
      <w:tr>
        <w:tc>
          <w:tcPr>
            <w:tcW w:type="dxa" w:w="2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Seoul Power Self-Sufficiency</w:t>
            </w:r>
          </w:p>
        </w:tc>
        <w:tc>
          <w:tcPr>
            <w:tcW w:type="dxa" w:w="28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11.6%</w:t>
            </w:r>
          </w:p>
        </w:tc>
        <w:tc>
          <w:tcPr>
            <w:tcW w:type="dxa" w:w="42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Distributed energy required → eCO₂ distributed generation opportunity</w:t>
            </w:r>
          </w:p>
        </w:tc>
      </w:tr>
      <w:tr>
        <w:tc>
          <w:tcPr>
            <w:tcW w:type="dxa" w:w="2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Korea $735B AI Initiative</w:t>
            </w:r>
          </w:p>
        </w:tc>
        <w:tc>
          <w:tcPr>
            <w:tcW w:type="dxa" w:w="2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50 new DCs, 500K GPUs</w:t>
            </w:r>
          </w:p>
        </w:tc>
        <w:tc>
          <w:tcPr>
            <w:tcW w:type="dxa" w:w="4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Government-led DC investment expansion</w:t>
            </w:r>
          </w:p>
        </w:tc>
      </w:tr>
      <w:tr>
        <w:tc>
          <w:tcPr>
            <w:tcW w:type="dxa" w:w="2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Korea DC Market CAGR</w:t>
            </w:r>
          </w:p>
        </w:tc>
        <w:tc>
          <w:tcPr>
            <w:tcW w:type="dxa" w:w="2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20.4% (2024–2035)</w:t>
            </w:r>
          </w:p>
        </w:tc>
        <w:tc>
          <w:tcPr>
            <w:tcW w:type="dxa" w:w="42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Highest growth rate among 6 application sectors → ★Priority 1 rationale</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2.2 ② Nuclear / SMR Renaissance (★Priority 2 Catalyst)</w:t>
      </w:r>
    </w:p>
    <w:p>
      <w:pPr>
        <w:spacing w:after="120"/>
      </w:pPr>
      <w:r>
        <w:rPr>
          <w:rFonts w:ascii="Calibri" w:cs="Calibri" w:eastAsia="Calibri" w:hAnsi="Calibri"/>
          <w:color w:val="28251D"/>
          <w:sz w:val="22"/>
          <w:szCs w:val="22"/>
        </w:rPr>
        <w:t xml:space="preserve">Korea operates 26 nuclear reactors (26.05 GW) supplying 31.7% of national electricity, making it a major nuclear power nation. The i-SMR SDA application (March 2026) and SMR Act passage (February 2026) are accelerating the commercial pathway for small modular reactors.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Item</w:t>
            </w:r>
          </w:p>
        </w:tc>
        <w:tc>
          <w:tcPr>
            <w:tcW w:type="dxa" w:w="3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Status</w:t>
            </w:r>
          </w:p>
        </w:tc>
        <w:tc>
          <w:tcPr>
            <w:tcW w:type="dxa" w:w="38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Timeline</w:t>
            </w:r>
          </w:p>
        </w:tc>
      </w:tr>
      <w:tr>
        <w:tc>
          <w:tcPr>
            <w:tcW w:type="dxa" w:w="2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i-SMR (KHNP + KAERI)</w:t>
            </w:r>
          </w:p>
        </w:tc>
        <w:tc>
          <w:tcPr>
            <w:tcW w:type="dxa" w:w="3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170 MWe, SDA Application March 2026</w:t>
            </w:r>
          </w:p>
        </w:tc>
        <w:tc>
          <w:tcPr>
            <w:tcW w:type="dxa" w:w="38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SDA Approval 2028 → Commercial Operation 2035</w:t>
            </w:r>
          </w:p>
        </w:tc>
      </w:tr>
      <w:tr>
        <w:tc>
          <w:tcPr>
            <w:tcW w:type="dxa" w:w="2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SMR Act</w:t>
            </w:r>
          </w:p>
        </w:tc>
        <w:tc>
          <w:tcPr>
            <w:tcW w:type="dxa" w:w="3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Passed February 2026</w:t>
            </w:r>
          </w:p>
        </w:tc>
        <w:tc>
          <w:tcPr>
            <w:tcW w:type="dxa" w:w="38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Dedicated licensing framework established</w:t>
            </w:r>
          </w:p>
        </w:tc>
      </w:tr>
      <w:tr>
        <w:tc>
          <w:tcPr>
            <w:tcW w:type="dxa" w:w="2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Czech APR-1400 Export</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$19B contract (June 2025)</w:t>
            </w:r>
          </w:p>
        </w:tc>
        <w:tc>
          <w:tcPr>
            <w:tcW w:type="dxa" w:w="3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Signal of expanding overseas pipeline</w:t>
            </w:r>
          </w:p>
        </w:tc>
      </w:tr>
      <w:tr>
        <w:tc>
          <w:tcPr>
            <w:tcW w:type="dxa" w:w="2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Daegu MoU</w:t>
            </w:r>
          </w:p>
        </w:tc>
        <w:tc>
          <w:tcPr>
            <w:tcW w:type="dxa" w:w="3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Small nuclear urban supply</w:t>
            </w:r>
          </w:p>
        </w:tc>
        <w:tc>
          <w:tcPr>
            <w:tcW w:type="dxa" w:w="38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Commercial operation target 2033</w:t>
            </w:r>
          </w:p>
        </w:tc>
      </w:tr>
      <w:tr>
        <w:tc>
          <w:tcPr>
            <w:tcW w:type="dxa" w:w="2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eCO₂ Temperature Match</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SMR heat source 300–400°C</w:t>
            </w:r>
          </w:p>
        </w:tc>
        <w:tc>
          <w:tcPr>
            <w:tcW w:type="dxa" w:w="3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Exactly matches eCO₂ Brayton optimal range</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2.3 ③ Energy Policy Transition</w:t>
      </w:r>
    </w:p>
    <w:p>
      <w:pPr>
        <w:spacing w:after="120"/>
      </w:pPr>
      <w:r>
        <w:rPr>
          <w:rFonts w:ascii="Calibri" w:cs="Calibri" w:eastAsia="Calibri" w:hAnsi="Calibri"/>
          <w:color w:val="28251D"/>
          <w:sz w:val="22"/>
          <w:szCs w:val="22"/>
        </w:rPr>
        <w:t xml:space="preserve">Five policy changes enacted in concentrated succession from 2024–2026 directly improve the economics and market accessibility of eCO₂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Policy</w:t>
            </w:r>
          </w:p>
        </w:tc>
        <w:tc>
          <w:tcPr>
            <w:tcW w:type="dxa" w:w="15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Effective Date</w:t>
            </w:r>
          </w:p>
        </w:tc>
        <w:tc>
          <w:tcPr>
            <w:tcW w:type="dxa" w:w="53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eCO₂ Business Impact</w:t>
            </w:r>
          </w:p>
        </w:tc>
      </w:tr>
      <w:tr>
        <w:tc>
          <w:tcPr>
            <w:tcW w:type="dxa" w:w="28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Distributed Energy Activation Special Act</w:t>
            </w:r>
          </w:p>
        </w:tc>
        <w:tc>
          <w:tcPr>
            <w:tcW w:type="dxa" w:w="15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June 2024</w:t>
            </w:r>
          </w:p>
        </w:tc>
        <w:tc>
          <w:tcPr>
            <w:tcW w:type="dxa" w:w="53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Legal foundation for DC distributed power + eCO₂ generation</w:t>
            </w:r>
          </w:p>
        </w:tc>
      </w:tr>
      <w:tr>
        <w:tc>
          <w:tcPr>
            <w:tcW w:type="dxa" w:w="28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Industrial Tariff Reform (Peak −₩16.9/kWh)</w:t>
            </w:r>
          </w:p>
        </w:tc>
        <w:tc>
          <w:tcPr>
            <w:tcW w:type="dxa" w:w="15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April 16, 2026</w:t>
            </w:r>
          </w:p>
        </w:tc>
        <w:tc>
          <w:tcPr>
            <w:tcW w:type="dxa" w:w="53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Direct improvement to eCO₂ DC cooling economics</w:t>
            </w:r>
          </w:p>
        </w:tc>
      </w:tr>
      <w:tr>
        <w:tc>
          <w:tcPr>
            <w:tcW w:type="dxa" w:w="2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SMR Act</w:t>
            </w:r>
          </w:p>
        </w:tc>
        <w:tc>
          <w:tcPr>
            <w:tcW w:type="dxa" w:w="1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February 2026</w:t>
            </w:r>
          </w:p>
        </w:tc>
        <w:tc>
          <w:tcPr>
            <w:tcW w:type="dxa" w:w="5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Accelerated i-SMR project licensing</w:t>
            </w:r>
          </w:p>
        </w:tc>
      </w:tr>
      <w:tr>
        <w:tc>
          <w:tcPr>
            <w:tcW w:type="dxa" w:w="2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Heat Pumps Recognized as Renewable Energy</w:t>
            </w:r>
          </w:p>
        </w:tc>
        <w:tc>
          <w:tcPr>
            <w:tcW w:type="dxa" w:w="1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December 2025</w:t>
            </w:r>
          </w:p>
        </w:tc>
        <w:tc>
          <w:tcPr>
            <w:tcW w:type="dxa" w:w="5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Improved heat pump profitability</w:t>
            </w:r>
          </w:p>
        </w:tc>
      </w:tr>
      <w:tr>
        <w:tc>
          <w:tcPr>
            <w:tcW w:type="dxa" w:w="2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K-ETS Carbon Cost Acceleration</w:t>
            </w:r>
          </w:p>
        </w:tc>
        <w:tc>
          <w:tcPr>
            <w:tcW w:type="dxa" w:w="1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Ongoing</w:t>
            </w:r>
          </w:p>
        </w:tc>
        <w:tc>
          <w:tcPr>
            <w:tcW w:type="dxa" w:w="5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Rising value of carbon-neutral eCO₂ solutions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9900" w:sz="8"/>
              <w:left w:val="single" w:color="D19900" w:sz="12"/>
              <w:bottom w:val="single" w:color="B0C0C2" w:sz="4"/>
              <w:right w:val="single" w:color="B0C0C2" w:sz="4"/>
            </w:tcBorders>
            <w:shd w:fill="FFF9E6" w:color="FFF9E6"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The 3 mega-trends represent structural change, not merely market opportunities. The simultaneous activation in 2026 of mandatory AI DC liquid cooling, the SMR Act, and industrial tariff reform creates a unique "Golden Window" for B★ market entry that exists only now.</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3 — Application Priority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is the core section of the entire report. It provides the quantitative rationale for where to focus among 6 application sectors. It is the scientific basis for strategic choice for decision-makers.</w:t>
      </w:r>
    </w:p>
    <w:p>
      <w:pPr>
        <w:spacing w:after="80"/>
      </w:pPr>
      <w:r>
        <w:t xml:space="preserve"/>
      </w:r>
    </w:p>
    <w:p>
      <w:pPr>
        <w:pStyle w:val="Heading2"/>
        <w:spacing w:after="140" w:before="280"/>
      </w:pPr>
      <w:r>
        <w:rPr>
          <w:rFonts w:ascii="Arial" w:cs="Arial" w:eastAsia="Arial" w:hAnsi="Arial"/>
          <w:b/>
          <w:bCs/>
          <w:color w:val="28251D"/>
          <w:sz w:val="30"/>
          <w:szCs w:val="30"/>
        </w:rPr>
        <w:t xml:space="preserve">3.1 Evaluation Criteria &amp; Weights — Design Logic</w:t>
      </w:r>
    </w:p>
    <w:p>
      <w:pPr>
        <w:spacing w:after="120"/>
      </w:pPr>
      <w:r>
        <w:rPr>
          <w:rFonts w:ascii="Calibri" w:cs="Calibri" w:eastAsia="Calibri" w:hAnsi="Calibri"/>
          <w:color w:val="28251D"/>
          <w:sz w:val="22"/>
          <w:szCs w:val="22"/>
        </w:rPr>
        <w:t xml:space="preserve">The weights of the 5 criteria directly reflect B★ commercialization strategy priorities. Revenue Speed (25%) carries the highest weight because securing the initial pilot contract in H2 2026 is the critical condition for achieving the 4-year payback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00"/>
        <w:gridCol w:w="3938"/>
      </w:tblGrid>
      <w:tr>
        <w:trPr>
          <w:tblHeader/>
        </w:trPr>
        <w:tc>
          <w:tcPr>
            <w:tcW w:type="dxa" w:w="15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Criterion</w:t>
            </w:r>
          </w:p>
        </w:tc>
        <w:tc>
          <w:tcPr>
            <w:tcW w:type="dxa" w:w="9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Weight</w:t>
            </w:r>
          </w:p>
        </w:tc>
        <w:tc>
          <w:tcPr>
            <w:tcW w:type="dxa" w:w="33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Design Logic</w:t>
            </w:r>
          </w:p>
        </w:tc>
        <w:tc>
          <w:tcPr>
            <w:tcW w:type="dxa" w:w="39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Measurement Method</w:t>
            </w:r>
          </w:p>
        </w:tc>
      </w:tr>
      <w:tr>
        <w:tc>
          <w:tcPr>
            <w:tcW w:type="dxa" w:w="15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Revenue Speed</w:t>
            </w:r>
          </w:p>
        </w:tc>
        <w:tc>
          <w:tcPr>
            <w:tcW w:type="dxa" w:w="9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25%</w:t>
            </w:r>
          </w:p>
        </w:tc>
        <w:tc>
          <w:tcPr>
            <w:tcW w:type="dxa" w:w="33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Commercialization pace = determines investment recovery timeline</w:t>
            </w:r>
          </w:p>
        </w:tc>
        <w:tc>
          <w:tcPr>
            <w:tcW w:type="dxa" w:w="39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Contract pipeline visibility + TRL level (1–10)</w:t>
            </w:r>
          </w:p>
        </w:tc>
      </w:tr>
      <w:tr>
        <w:tc>
          <w:tcPr>
            <w:tcW w:type="dxa" w:w="15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Technical Fit</w:t>
            </w:r>
          </w:p>
        </w:tc>
        <w:tc>
          <w:tcPr>
            <w:tcW w:type="dxa" w:w="9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20%</w:t>
            </w:r>
          </w:p>
        </w:tc>
        <w:tc>
          <w:tcPr>
            <w:tcW w:type="dxa" w:w="33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Can eCO₂ technology actually be applied to this sector?</w:t>
            </w:r>
          </w:p>
        </w:tc>
        <w:tc>
          <w:tcPr>
            <w:tcW w:type="dxa" w:w="39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TRL level + heat source temperature match (1–10)</w:t>
            </w:r>
          </w:p>
        </w:tc>
      </w:tr>
      <w:tr>
        <w:tc>
          <w:tcPr>
            <w:tcW w:type="dxa" w:w="1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 Architecture Fit</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w:t>
            </w:r>
          </w:p>
        </w:tc>
        <w:tc>
          <w:tcPr>
            <w:tcW w:type="dxa" w:w="33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Direct alignment with Hub-S1 compact modular architecture</w:t>
            </w:r>
          </w:p>
        </w:tc>
        <w:tc>
          <w:tcPr>
            <w:tcW w:type="dxa" w:w="39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Container module deployment feasibility (1–10)</w:t>
            </w:r>
          </w:p>
        </w:tc>
      </w:tr>
      <w:tr>
        <w:tc>
          <w:tcPr>
            <w:tcW w:type="dxa" w:w="1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Policy Support</w:t>
            </w:r>
          </w:p>
        </w:tc>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w:t>
            </w:r>
          </w:p>
        </w:tc>
        <w:tc>
          <w:tcPr>
            <w:tcW w:type="dxa" w:w="33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Strength of Korean government policies, subsidies, and licensing support</w:t>
            </w:r>
          </w:p>
        </w:tc>
        <w:tc>
          <w:tcPr>
            <w:tcW w:type="dxa" w:w="39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Number of enacted policies + support intensity (1–10)</w:t>
            </w:r>
          </w:p>
        </w:tc>
      </w:tr>
      <w:tr>
        <w:tc>
          <w:tcPr>
            <w:tcW w:type="dxa" w:w="1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CAGR Normalized</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15%</w:t>
            </w:r>
          </w:p>
        </w:tc>
        <w:tc>
          <w:tcPr>
            <w:tcW w:type="dxa" w:w="33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Reflects market growth speed (higher = greater first-mover advantage)</w:t>
            </w:r>
          </w:p>
        </w:tc>
        <w:tc>
          <w:tcPr>
            <w:tcW w:type="dxa" w:w="39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Market CAGR normalized to 10-point scale</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3.2 Priority Matrix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000"/>
        <w:gridCol w:w="1100"/>
        <w:gridCol w:w="900"/>
        <w:gridCol w:w="3738"/>
      </w:tblGrid>
      <w:tr>
        <w:trPr>
          <w:tblHeader/>
        </w:trPr>
        <w:tc>
          <w:tcPr>
            <w:tcW w:type="dxa" w:w="7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Rank</w:t>
            </w:r>
          </w:p>
        </w:tc>
        <w:tc>
          <w:tcPr>
            <w:tcW w:type="dxa" w:w="2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Application</w:t>
            </w:r>
          </w:p>
        </w:tc>
        <w:tc>
          <w:tcPr>
            <w:tcW w:type="dxa" w:w="10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Score</w:t>
            </w:r>
          </w:p>
        </w:tc>
        <w:tc>
          <w:tcPr>
            <w:tcW w:type="dxa" w:w="11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KR Market</w:t>
            </w:r>
          </w:p>
        </w:tc>
        <w:tc>
          <w:tcPr>
            <w:tcW w:type="dxa" w:w="9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CAGR</w:t>
            </w:r>
          </w:p>
        </w:tc>
        <w:tc>
          <w:tcPr>
            <w:tcW w:type="dxa" w:w="37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Selection Rationale</w:t>
            </w:r>
          </w:p>
        </w:tc>
      </w:tr>
      <w:tr>
        <w:tc>
          <w:tcPr>
            <w:tcW w:type="dxa" w:w="7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★1</w:t>
            </w:r>
          </w:p>
        </w:tc>
        <w:tc>
          <w:tcPr>
            <w:tcW w:type="dxa" w:w="2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DC Cooling &amp; Waste Heat Recovery</w:t>
            </w:r>
          </w:p>
        </w:tc>
        <w:tc>
          <w:tcPr>
            <w:tcW w:type="dxa" w:w="1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9.35</w:t>
            </w:r>
          </w:p>
        </w:tc>
        <w:tc>
          <w:tcPr>
            <w:tcW w:type="dxa" w:w="11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$19,900M</w:t>
            </w:r>
          </w:p>
        </w:tc>
        <w:tc>
          <w:tcPr>
            <w:tcW w:type="dxa" w:w="9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20.4%</w:t>
            </w:r>
          </w:p>
        </w:tc>
        <w:tc>
          <w:tcPr>
            <w:tcW w:type="dxa" w:w="37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Immediately actionable pipeline + highest CAGR</w:t>
            </w:r>
          </w:p>
        </w:tc>
      </w:tr>
      <w:tr>
        <w:tc>
          <w:tcPr>
            <w:tcW w:type="dxa" w:w="7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★2</w:t>
            </w:r>
          </w:p>
        </w:tc>
        <w:tc>
          <w:tcPr>
            <w:tcW w:type="dxa" w:w="2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Nuclear / SMR / Cogeneration</w:t>
            </w:r>
          </w:p>
        </w:tc>
        <w:tc>
          <w:tcPr>
            <w:tcW w:type="dxa" w:w="1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8.42</w:t>
            </w:r>
          </w:p>
        </w:tc>
        <w:tc>
          <w:tcPr>
            <w:tcW w:type="dxa" w:w="11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$4,500M</w:t>
            </w:r>
          </w:p>
        </w:tc>
        <w:tc>
          <w:tcPr>
            <w:tcW w:type="dxa" w:w="9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18.0%</w:t>
            </w:r>
          </w:p>
        </w:tc>
        <w:tc>
          <w:tcPr>
            <w:tcW w:type="dxa" w:w="37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SMR Act + i-SMR SDA application = strongest policy support</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3</w:t>
            </w:r>
          </w:p>
        </w:tc>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LNG Waste Heat Power</w:t>
            </w:r>
          </w:p>
        </w:tc>
        <w:tc>
          <w:tcPr>
            <w:tcW w:type="dxa" w:w="1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7.18</w:t>
            </w:r>
          </w:p>
        </w:tc>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$3,800M</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8.5%</w:t>
            </w:r>
          </w:p>
        </w:tc>
        <w:tc>
          <w:tcPr>
            <w:tcW w:type="dxa" w:w="37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Expand in Phase 2 following SMR linkage</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4</w:t>
            </w:r>
          </w:p>
        </w:tc>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Industrial Heat Pumps</w:t>
            </w:r>
          </w:p>
        </w:tc>
        <w:tc>
          <w:tcPr>
            <w:tcW w:type="dxa" w:w="1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6.73</w:t>
            </w:r>
          </w:p>
        </w:tc>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$8,000M</w:t>
            </w:r>
          </w:p>
        </w:tc>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7.9%</w:t>
            </w:r>
          </w:p>
        </w:tc>
        <w:tc>
          <w:tcPr>
            <w:tcW w:type="dxa" w:w="37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Government 3.5M unit target + renewable energy recognition</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5</w:t>
            </w:r>
          </w:p>
        </w:tc>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Thermal Power Waste Heat</w:t>
            </w:r>
          </w:p>
        </w:tc>
        <w:tc>
          <w:tcPr>
            <w:tcW w:type="dxa" w:w="1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6.18</w:t>
            </w:r>
          </w:p>
        </w:tc>
        <w:tc>
          <w:tcPr>
            <w:tcW w:type="dxa" w:w="1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$3,000M</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6.5%</w:t>
            </w:r>
          </w:p>
        </w:tc>
        <w:tc>
          <w:tcPr>
            <w:tcW w:type="dxa" w:w="37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Monitor during energy transition period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6</w:t>
            </w:r>
          </w:p>
        </w:tc>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Steel Blast Furnace Waste Heat</w:t>
            </w:r>
          </w:p>
        </w:tc>
        <w:tc>
          <w:tcPr>
            <w:tcW w:type="dxa" w:w="1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5.29</w:t>
            </w:r>
          </w:p>
        </w:tc>
        <w:tc>
          <w:tcPr>
            <w:tcW w:type="dxa" w:w="1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$2,200M</w:t>
            </w:r>
          </w:p>
        </w:tc>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6.0%</w:t>
            </w:r>
          </w:p>
        </w:tc>
        <w:tc>
          <w:tcPr>
            <w:tcW w:type="dxa" w:w="37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Long-term R&amp;D target, Phase 3 onwards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1696F" w:sz="8"/>
              <w:left w:val="single" w:color="01696F" w:sz="12"/>
              <w:bottom w:val="single" w:color="B0C0C2" w:sz="4"/>
              <w:right w:val="single" w:color="B0C0C2" w:sz="4"/>
            </w:tcBorders>
            <w:shd w:fill="E8F4F5" w:color="E8F4F5"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Industrial Heat Pumps (Rank 4) has the second-largest Korean market ($8,000M after DC cooling at $19,900M), but its lower CAGR (7.9%) and Revenue Speed place it at rank 4. Mid-term entry via policy linkage is more appropriate than immediate commercialization.</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3.3 How to Read the Bubble Chart</w:t>
      </w:r>
    </w:p>
    <w:p>
      <w:pPr>
        <w:spacing w:after="120"/>
      </w:pPr>
      <w:r>
        <w:rPr>
          <w:rFonts w:ascii="Calibri" w:cs="Calibri" w:eastAsia="Calibri" w:hAnsi="Calibri"/>
          <w:color w:val="28251D"/>
          <w:sz w:val="22"/>
          <w:szCs w:val="22"/>
        </w:rPr>
        <w:t xml:space="preserve">X-axis: Composite Score (higher = higher priority) | Y-axis: CAGR (higher = faster growth) | Bubble Size: Korean market size (larger = bigger TAM)</w:t>
      </w:r>
    </w:p>
    <w:p>
      <w:pPr>
        <w:spacing w:after="120"/>
      </w:pPr>
      <w:r>
        <w:rPr>
          <w:rFonts w:ascii="Calibri" w:cs="Calibri" w:eastAsia="Calibri" w:hAnsi="Calibri"/>
          <w:color w:val="28251D"/>
          <w:sz w:val="22"/>
          <w:szCs w:val="22"/>
        </w:rPr>
        <w:t xml:space="preserve">★1 (DC Cooling) and ★2 (SMR) are positioned in the upper-right "Act Now" quadrant — an ideal combination of high score + high CAGR + large bubble.</w:t>
      </w:r>
    </w:p>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4 — ★Priority 1 Deep-Dive: DC Cooling &amp; Waste Heat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provides an in-depth market analysis of the ★Priority 1 application sector and explains the B★ solution differentiators. It can be used directly as meeting preparation material for potential customers such as Samsung SDS and SK Telecom.</w:t>
      </w:r>
    </w:p>
    <w:p>
      <w:pPr>
        <w:spacing w:after="80"/>
      </w:pPr>
      <w:r>
        <w:t xml:space="preserve"/>
      </w:r>
    </w:p>
    <w:p>
      <w:pPr>
        <w:pStyle w:val="Heading2"/>
        <w:spacing w:after="140" w:before="280"/>
      </w:pPr>
      <w:r>
        <w:rPr>
          <w:rFonts w:ascii="Arial" w:cs="Arial" w:eastAsia="Arial" w:hAnsi="Arial"/>
          <w:b/>
          <w:bCs/>
          <w:color w:val="28251D"/>
          <w:sz w:val="30"/>
          <w:szCs w:val="30"/>
        </w:rPr>
        <w:t xml:space="preserve">4.1 Market Segment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4038"/>
      </w:tblGrid>
      <w:tr>
        <w:trPr>
          <w:tblHeader/>
        </w:trPr>
        <w:tc>
          <w:tcPr>
            <w:tcW w:type="dxa" w:w="2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Segment</w:t>
            </w:r>
          </w:p>
        </w:tc>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2024</w:t>
            </w:r>
          </w:p>
        </w:tc>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2035F</w:t>
            </w:r>
          </w:p>
        </w:tc>
        <w:tc>
          <w:tcPr>
            <w:tcW w:type="dxa" w:w="10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CAGR</w:t>
            </w:r>
          </w:p>
        </w:tc>
        <w:tc>
          <w:tcPr>
            <w:tcW w:type="dxa" w:w="40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B★ Target</w:t>
            </w:r>
          </w:p>
        </w:tc>
      </w:tr>
      <w:tr>
        <w:tc>
          <w:tcPr>
            <w:tcW w:type="dxa" w:w="2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Korea DC Total</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$995M</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$10,200M</w:t>
            </w:r>
          </w:p>
        </w:tc>
        <w:tc>
          <w:tcPr>
            <w:tcW w:type="dxa" w:w="1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20.4%</w:t>
            </w:r>
          </w:p>
        </w:tc>
        <w:tc>
          <w:tcPr>
            <w:tcW w:type="dxa" w:w="40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Overall TAM</w:t>
            </w:r>
          </w:p>
        </w:tc>
      </w:tr>
      <w:tr>
        <w:tc>
          <w:tcPr>
            <w:tcW w:type="dxa" w:w="2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Korea DC Cooling</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$177M</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$919M</w:t>
            </w:r>
          </w:p>
        </w:tc>
        <w:tc>
          <w:tcPr>
            <w:tcW w:type="dxa" w:w="1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17.0%</w:t>
            </w:r>
          </w:p>
        </w:tc>
        <w:tc>
          <w:tcPr>
            <w:tcW w:type="dxa" w:w="40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Direct TAM</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Korea DC Liquid Cooling</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$45M</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$480M</w:t>
            </w:r>
          </w:p>
        </w:tc>
        <w:tc>
          <w:tcPr>
            <w:tcW w:type="dxa" w:w="1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24.0%</w:t>
            </w:r>
          </w:p>
        </w:tc>
        <w:tc>
          <w:tcPr>
            <w:tcW w:type="dxa" w:w="40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Core SAM — fastest growing</w:t>
            </w:r>
          </w:p>
        </w:tc>
      </w:tr>
      <w:tr>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Global DC Cooling</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$16.3B</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$75B+</w:t>
            </w:r>
          </w:p>
        </w:tc>
        <w:tc>
          <w:tcPr>
            <w:tcW w:type="dxa" w:w="1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16.5%</w:t>
            </w:r>
          </w:p>
        </w:tc>
        <w:tc>
          <w:tcPr>
            <w:tcW w:type="dxa" w:w="40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Global expansion reference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1696F" w:sz="8"/>
              <w:left w:val="single" w:color="01696F" w:sz="12"/>
              <w:bottom w:val="single" w:color="B0C0C2" w:sz="4"/>
              <w:right w:val="single" w:color="B0C0C2" w:sz="4"/>
            </w:tcBorders>
            <w:shd w:fill="E8F4F5" w:color="E8F4F5"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Korean DC Liquid Cooling CAGR of 24.0% is the fastest among the 4 segments. As GPU rack density physically exceeds air cooling limits (5kW → 140kW) around 2026–2027, liquid cooling conversion demand is expected to surge explosively.</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4.2 B★ Solution Differentiators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38"/>
      </w:tblGrid>
      <w:tr>
        <w:trPr>
          <w:tblHeader/>
        </w:trPr>
        <w:tc>
          <w:tcPr>
            <w:tcW w:type="dxa" w:w="16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Differentiator</w:t>
            </w:r>
          </w:p>
        </w:tc>
        <w:tc>
          <w:tcPr>
            <w:tcW w:type="dxa" w:w="36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Detail</w:t>
            </w:r>
          </w:p>
        </w:tc>
        <w:tc>
          <w:tcPr>
            <w:tcW w:type="dxa" w:w="44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Advantage vs. Competitors</w:t>
            </w:r>
          </w:p>
        </w:tc>
      </w:tr>
      <w:tr>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Single-Loop Integration</w:t>
            </w:r>
          </w:p>
        </w:tc>
        <w:tc>
          <w:tcPr>
            <w:tcW w:type="dxa" w:w="3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DC liquid cooling + ORC waste heat generation integrated in single eCO₂ loop</w:t>
            </w:r>
          </w:p>
        </w:tc>
        <w:tc>
          <w:tcPr>
            <w:tcW w:type="dxa" w:w="44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Competitors operate cooling and power as separate systems</w:t>
            </w:r>
          </w:p>
        </w:tc>
      </w:tr>
      <w:tr>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Rapid Deployment</w:t>
            </w:r>
          </w:p>
        </w:tc>
        <w:tc>
          <w:tcPr>
            <w:tcW w:type="dxa" w:w="3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Hub-S1 container module → 2–4 week delivery</w:t>
            </w:r>
          </w:p>
        </w:tc>
        <w:tc>
          <w:tcPr>
            <w:tcW w:type="dxa" w:w="44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Conventional systems: 3–6 months on-site construction</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Energy Savings</w:t>
            </w:r>
          </w:p>
        </w:tc>
        <w:tc>
          <w:tcPr>
            <w:tcW w:type="dxa" w:w="3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PUE 1.05–1.10 (26% savings vs. air cooling PUE 1.41)</w:t>
            </w:r>
          </w:p>
        </w:tc>
        <w:tc>
          <w:tcPr>
            <w:tcW w:type="dxa" w:w="44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Saves billions of KRW in annual electricity costs</w:t>
            </w:r>
          </w:p>
        </w:tc>
      </w:tr>
      <w:tr>
        <w:tc>
          <w:tcPr>
            <w:tcW w:type="dxa" w:w="1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ROI Acceleration</w:t>
            </w:r>
          </w:p>
        </w:tc>
        <w:tc>
          <w:tcPr>
            <w:tcW w:type="dxa" w:w="3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Waste heat generation reduces DC electricity cost by 15–20%</w:t>
            </w:r>
          </w:p>
        </w:tc>
        <w:tc>
          <w:tcPr>
            <w:tcW w:type="dxa" w:w="44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Cooling cost transforms into revenue</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2026 Pipeline</w:t>
            </w:r>
          </w:p>
        </w:tc>
        <w:tc>
          <w:tcPr>
            <w:tcW w:type="dxa" w:w="3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Samsung SDS Gwacheon / SK Telecom Seongsu DC PoC target</w:t>
            </w:r>
          </w:p>
        </w:tc>
        <w:tc>
          <w:tcPr>
            <w:tcW w:type="dxa" w:w="44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Existing actionable contract pipeline</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5 — ★Priority 2 Deep-Dive: Nuclear / SMR / Cogeneration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provides an in-depth analysis of the ★Priority 2 application sector. It serves as background material for preparing technology collaboration and MOU discussions with KHNP and KAERI.</w:t>
      </w:r>
    </w:p>
    <w:p>
      <w:pPr>
        <w:spacing w:after="80"/>
      </w:pPr>
      <w:r>
        <w:t xml:space="preserve"/>
      </w:r>
    </w:p>
    <w:p>
      <w:pPr>
        <w:pStyle w:val="Heading2"/>
        <w:spacing w:after="140" w:before="280"/>
      </w:pPr>
      <w:r>
        <w:rPr>
          <w:rFonts w:ascii="Arial" w:cs="Arial" w:eastAsia="Arial" w:hAnsi="Arial"/>
          <w:b/>
          <w:bCs/>
          <w:color w:val="28251D"/>
          <w:sz w:val="30"/>
          <w:szCs w:val="30"/>
        </w:rPr>
        <w:t xml:space="preserve">5.1 Korean Nuclear / SMR Status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tblHeader/>
        </w:trPr>
        <w:tc>
          <w:tcPr>
            <w:tcW w:type="dxa" w:w="1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Item</w:t>
            </w:r>
          </w:p>
        </w:tc>
        <w:tc>
          <w:tcPr>
            <w:tcW w:type="dxa" w:w="3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Status</w:t>
            </w:r>
          </w:p>
        </w:tc>
        <w:tc>
          <w:tcPr>
            <w:tcW w:type="dxa" w:w="48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Strategic Significance</w:t>
            </w:r>
          </w:p>
        </w:tc>
      </w:tr>
      <w:tr>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Nuclear Capacity</w:t>
            </w:r>
          </w:p>
        </w:tc>
        <w:tc>
          <w:tcPr>
            <w:tcW w:type="dxa" w:w="3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26 units, 26.05 GW, 31.7% of electricity</w:t>
            </w:r>
          </w:p>
        </w:tc>
        <w:tc>
          <w:tcPr>
            <w:tcW w:type="dxa" w:w="48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Korea's nuclear-based energy structure — ecosystem access is favorable</w:t>
            </w:r>
          </w:p>
        </w:tc>
      </w:tr>
      <w:tr>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i-SMR</w:t>
            </w:r>
          </w:p>
        </w:tc>
        <w:tc>
          <w:tcPr>
            <w:tcW w:type="dxa" w:w="3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170 MWe, jointly developed by KHNP + KAERI</w:t>
            </w:r>
          </w:p>
        </w:tc>
        <w:tc>
          <w:tcPr>
            <w:tcW w:type="dxa" w:w="48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Optimal eCO₂ MOU timing when SDA approval comes in 2028</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SMR Act</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Passed February 2026</w:t>
            </w:r>
          </w:p>
        </w:tc>
        <w:tc>
          <w:tcPr>
            <w:tcW w:type="dxa" w:w="4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Dedicated licensing → significantly lowered entry barriers</w:t>
            </w:r>
          </w:p>
        </w:tc>
      </w:tr>
      <w:tr>
        <w:tc>
          <w:tcPr>
            <w:tcW w:type="dxa" w:w="1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Czech $19B Export</w:t>
            </w:r>
          </w:p>
        </w:tc>
        <w:tc>
          <w:tcPr>
            <w:tcW w:type="dxa" w:w="3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APR-1400 contract June 2025</w:t>
            </w:r>
          </w:p>
        </w:tc>
        <w:tc>
          <w:tcPr>
            <w:tcW w:type="dxa" w:w="48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KHNP global pipeline → co-expansion overseas opportunity</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Daegu MoU</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Small nuclear urban supply, target 2033</w:t>
            </w:r>
          </w:p>
        </w:tc>
        <w:tc>
          <w:tcPr>
            <w:tcW w:type="dxa" w:w="4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eCO₂ CHP integration possible in regional distributed heat supply model</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5.2 eCO₂ × SMR Synergy Deep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Synergy Point</w:t>
            </w:r>
          </w:p>
        </w:tc>
        <w:tc>
          <w:tcPr>
            <w:tcW w:type="dxa" w:w="3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Detail</w:t>
            </w:r>
          </w:p>
        </w:tc>
        <w:tc>
          <w:tcPr>
            <w:tcW w:type="dxa" w:w="44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Numerical Basis</w:t>
            </w:r>
          </w:p>
        </w:tc>
      </w:tr>
      <w:tr>
        <w:tc>
          <w:tcPr>
            <w:tcW w:type="dxa" w:w="2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Optimal Temperature Match</w:t>
            </w:r>
          </w:p>
        </w:tc>
        <w:tc>
          <w:tcPr>
            <w:tcW w:type="dxa" w:w="3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SMR heat source 300–400°C = eCO₂ Brayton optimal range</w:t>
            </w:r>
          </w:p>
        </w:tc>
        <w:tc>
          <w:tcPr>
            <w:tcW w:type="dxa" w:w="44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Exact heat source temperature alignment → efficiency maximized</w:t>
            </w:r>
          </w:p>
        </w:tc>
      </w:tr>
      <w:tr>
        <w:tc>
          <w:tcPr>
            <w:tcW w:type="dxa" w:w="2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CHP Integration</w:t>
            </w:r>
          </w:p>
        </w:tc>
        <w:tc>
          <w:tcPr>
            <w:tcW w:type="dxa" w:w="3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Simultaneous power + heat supply</w:t>
            </w:r>
          </w:p>
        </w:tc>
        <w:tc>
          <w:tcPr>
            <w:tcW w:type="dxa" w:w="44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CHP efficiency: 80%+ possible vs. simple generation (40%)</w:t>
            </w:r>
          </w:p>
        </w:tc>
      </w:tr>
      <w:tr>
        <w:tc>
          <w:tcPr>
            <w:tcW w:type="dxa" w:w="2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Zero-Water Cooling</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Resolves nuclear water usage issues</w:t>
            </w:r>
          </w:p>
        </w:tc>
        <w:tc>
          <w:tcPr>
            <w:tcW w:type="dxa" w:w="44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Inland siting possible → expanded site selection flexibility</w:t>
            </w:r>
          </w:p>
        </w:tc>
      </w:tr>
      <w:tr>
        <w:tc>
          <w:tcPr>
            <w:tcW w:type="dxa" w:w="2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MOU Timeline</w:t>
            </w:r>
          </w:p>
        </w:tc>
        <w:tc>
          <w:tcPr>
            <w:tcW w:type="dxa" w:w="3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MOU promotion around i-SMR SDA approval (2028)</w:t>
            </w:r>
          </w:p>
        </w:tc>
        <w:tc>
          <w:tcPr>
            <w:tcW w:type="dxa" w:w="44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Q4 2026 preliminary meeting → 2028 joint development MOU</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5.3 Market Outlook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438"/>
      </w:tblGrid>
      <w:tr>
        <w:trPr>
          <w:tblHeader/>
        </w:trPr>
        <w:tc>
          <w:tcPr>
            <w:tcW w:type="dxa" w:w="1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Market</w:t>
            </w:r>
          </w:p>
        </w:tc>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2024</w:t>
            </w:r>
          </w:p>
        </w:tc>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2035F</w:t>
            </w:r>
          </w:p>
        </w:tc>
        <w:tc>
          <w:tcPr>
            <w:tcW w:type="dxa" w:w="1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CAGR</w:t>
            </w:r>
          </w:p>
        </w:tc>
        <w:tc>
          <w:tcPr>
            <w:tcW w:type="dxa" w:w="44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Interpretation</w:t>
            </w:r>
          </w:p>
        </w:tc>
      </w:tr>
      <w:tr>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Korea CHP</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$1,900M</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$3,000M</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5.8%</w:t>
            </w:r>
          </w:p>
        </w:tc>
        <w:tc>
          <w:tcPr>
            <w:tcW w:type="dxa" w:w="44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Stable growth — existing power plant replacement demand</w:t>
            </w:r>
          </w:p>
        </w:tc>
      </w:tr>
      <w:tr>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Global SMR</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$2.0B</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$45.0B</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18.0%</w:t>
            </w:r>
          </w:p>
        </w:tc>
        <w:tc>
          <w:tcPr>
            <w:tcW w:type="dxa" w:w="44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Explosive growth — first commercial projects launching</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 SAM (SMR)</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$1,200M</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w:t>
            </w:r>
          </w:p>
        </w:tc>
        <w:tc>
          <w:tcPr>
            <w:tcW w:type="dxa" w:w="44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Target is 2.7% share of global SMR market</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6 — Financial KPIs: B★ Investment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is the complete financial case for investors and CFO. It quantifies IRR, NPV, and Payback across 3 scenarios, and the TAM → SAM → actual revenue funnel.</w:t>
      </w:r>
    </w:p>
    <w:p>
      <w:pPr>
        <w:spacing w:after="80"/>
      </w:pPr>
      <w:r>
        <w:t xml:space="preserve"/>
      </w:r>
    </w:p>
    <w:p>
      <w:pPr>
        <w:pStyle w:val="Heading2"/>
        <w:spacing w:after="140" w:before="280"/>
      </w:pPr>
      <w:r>
        <w:rPr>
          <w:rFonts w:ascii="Arial" w:cs="Arial" w:eastAsia="Arial" w:hAnsi="Arial"/>
          <w:b/>
          <w:bCs/>
          <w:color w:val="28251D"/>
          <w:sz w:val="30"/>
          <w:szCs w:val="30"/>
        </w:rPr>
        <w:t xml:space="preserve">6.1 Scenario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4638"/>
      </w:tblGrid>
      <w:tr>
        <w:trPr>
          <w:tblHeader/>
        </w:trPr>
        <w:tc>
          <w:tcPr>
            <w:tcW w:type="dxa" w:w="14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KPI</w:t>
            </w:r>
          </w:p>
        </w:tc>
        <w:tc>
          <w:tcPr>
            <w:tcW w:type="dxa" w:w="1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Conservative</w:t>
            </w:r>
          </w:p>
        </w:tc>
        <w:tc>
          <w:tcPr>
            <w:tcW w:type="dxa" w:w="1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Base ★</w:t>
            </w:r>
          </w:p>
        </w:tc>
        <w:tc>
          <w:tcPr>
            <w:tcW w:type="dxa" w:w="1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Optimistic</w:t>
            </w:r>
          </w:p>
        </w:tc>
        <w:tc>
          <w:tcPr>
            <w:tcW w:type="dxa" w:w="46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Key Assumption Difference</w:t>
            </w:r>
          </w:p>
        </w:tc>
      </w:tr>
      <w:tr>
        <w:tc>
          <w:tcPr>
            <w:tcW w:type="dxa" w:w="1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IRR</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36.4%</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42.4%</w:t>
            </w:r>
          </w:p>
        </w:tc>
        <w:tc>
          <w:tcPr>
            <w:tcW w:type="dxa" w:w="1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52.0%</w:t>
            </w:r>
          </w:p>
        </w:tc>
        <w:tc>
          <w:tcPr>
            <w:tcW w:type="dxa" w:w="46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Contract signing speed + revenue growth rate</w:t>
            </w:r>
          </w:p>
        </w:tc>
      </w:tr>
      <w:tr>
        <w:tc>
          <w:tcPr>
            <w:tcW w:type="dxa" w:w="1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Payback</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5 years</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4 years</w:t>
            </w:r>
          </w:p>
        </w:tc>
        <w:tc>
          <w:tcPr>
            <w:tcW w:type="dxa" w:w="1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3 years</w:t>
            </w:r>
          </w:p>
        </w:tc>
        <w:tc>
          <w:tcPr>
            <w:tcW w:type="dxa" w:w="46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Pilot contract timing difference (based on H2 2026)</w:t>
            </w:r>
          </w:p>
        </w:tc>
      </w:tr>
      <w:tr>
        <w:tc>
          <w:tcPr>
            <w:tcW w:type="dxa" w:w="1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NPV (10-yr)</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$52.3M</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$81.7M</w:t>
            </w:r>
          </w:p>
        </w:tc>
        <w:tc>
          <w:tcPr>
            <w:tcW w:type="dxa" w:w="1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$145.2M</w:t>
            </w:r>
          </w:p>
        </w:tc>
        <w:tc>
          <w:tcPr>
            <w:tcW w:type="dxa" w:w="46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Same WACC 10%, revenue growth rate differs</w:t>
            </w:r>
          </w:p>
        </w:tc>
      </w:tr>
      <w:tr>
        <w:tc>
          <w:tcPr>
            <w:tcW w:type="dxa" w:w="1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CAPEX</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$18M</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$18M</w:t>
            </w:r>
          </w:p>
        </w:tc>
        <w:tc>
          <w:tcPr>
            <w:tcW w:type="dxa" w:w="1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$18M</w:t>
            </w:r>
          </w:p>
        </w:tc>
        <w:tc>
          <w:tcPr>
            <w:tcW w:type="dxa" w:w="46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Identical across all 3 scenarios — CAPEX is not the variable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1696F" w:sz="8"/>
              <w:left w:val="single" w:color="01696F" w:sz="12"/>
              <w:bottom w:val="single" w:color="B0C0C2" w:sz="4"/>
              <w:right w:val="single" w:color="B0C0C2" w:sz="4"/>
            </w:tcBorders>
            <w:shd w:fill="E8F4F5" w:color="E8F4F5"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Base Scenario 4 Assumptions: ① CAPEX $18M (Hub-S1 standalone) ② WACC 10% ③ DC cooling Hub-S1 standalone commercialization ④ First pilot contract in H2 2026. IRR 42.4% is achieved when all 4 of these assumptions hold.</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6.2 Business Opportunity Funnel (TAM → SAM → Revenue)</w:t>
      </w:r>
    </w:p>
    <w:tbl>
      <w:tblPr>
        <w:tblW w:type="dxa" w:w="80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238"/>
      </w:tblGrid>
      <w:tr>
        <w:trPr>
          <w:tblHeader/>
        </w:trPr>
        <w:tc>
          <w:tcPr>
            <w:tcW w:type="dxa" w:w="2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Item</w:t>
            </w:r>
          </w:p>
        </w:tc>
        <w:tc>
          <w:tcPr>
            <w:tcW w:type="dxa" w:w="14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2028E</w:t>
            </w:r>
          </w:p>
        </w:tc>
        <w:tc>
          <w:tcPr>
            <w:tcW w:type="dxa" w:w="14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2030F</w:t>
            </w:r>
          </w:p>
        </w:tc>
        <w:tc>
          <w:tcPr>
            <w:tcW w:type="dxa" w:w="14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2033F</w:t>
            </w:r>
          </w:p>
        </w:tc>
        <w:tc>
          <w:tcPr>
            <w:tcW w:type="dxa" w:w="12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2035F</w:t>
            </w:r>
          </w:p>
        </w:tc>
      </w:tr>
      <w:tr>
        <w:tc>
          <w:tcPr>
            <w:tcW w:type="dxa" w:w="2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TAM (Total Addressable Market)</w:t>
            </w:r>
          </w:p>
        </w:tc>
        <w:tc>
          <w:tcPr>
            <w:tcW w:type="dxa" w:w="1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$1.6B</w:t>
            </w:r>
          </w:p>
        </w:tc>
        <w:tc>
          <w:tcPr>
            <w:tcW w:type="dxa" w:w="1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$3.2B</w:t>
            </w:r>
          </w:p>
        </w:tc>
        <w:tc>
          <w:tcPr>
            <w:tcW w:type="dxa" w:w="1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$6.0B</w:t>
            </w:r>
          </w:p>
        </w:tc>
        <w:tc>
          <w:tcPr>
            <w:tcW w:type="dxa" w:w="12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$9.8B</w:t>
            </w:r>
          </w:p>
        </w:tc>
      </w:tr>
      <w:tr>
        <w:tc>
          <w:tcPr>
            <w:tcW w:type="dxa" w:w="2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SAM (DC Cooling Service Market)</w:t>
            </w:r>
          </w:p>
        </w:tc>
        <w:tc>
          <w:tcPr>
            <w:tcW w:type="dxa" w:w="1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$120M</w:t>
            </w:r>
          </w:p>
        </w:tc>
        <w:tc>
          <w:tcPr>
            <w:tcW w:type="dxa" w:w="1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$280M</w:t>
            </w:r>
          </w:p>
        </w:tc>
        <w:tc>
          <w:tcPr>
            <w:tcW w:type="dxa" w:w="1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$550M</w:t>
            </w:r>
          </w:p>
        </w:tc>
        <w:tc>
          <w:tcPr>
            <w:tcW w:type="dxa" w:w="12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$920M</w:t>
            </w:r>
          </w:p>
        </w:tc>
      </w:tr>
      <w:tr>
        <w:tc>
          <w:tcPr>
            <w:tcW w:type="dxa" w:w="2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Hub-S1 Revenue Forecast</w:t>
            </w:r>
          </w:p>
        </w:tc>
        <w:tc>
          <w:tcPr>
            <w:tcW w:type="dxa" w:w="1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$20M</w:t>
            </w:r>
          </w:p>
        </w:tc>
        <w:tc>
          <w:tcPr>
            <w:tcW w:type="dxa" w:w="1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$85M</w:t>
            </w:r>
          </w:p>
        </w:tc>
        <w:tc>
          <w:tcPr>
            <w:tcW w:type="dxa" w:w="1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$200M</w:t>
            </w:r>
          </w:p>
        </w:tc>
        <w:tc>
          <w:tcPr>
            <w:tcW w:type="dxa" w:w="12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$527M</w:t>
            </w:r>
          </w:p>
        </w:tc>
      </w:tr>
      <w:tr>
        <w:tc>
          <w:tcPr>
            <w:tcW w:type="dxa" w:w="2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Unit CAPEX</w:t>
            </w:r>
          </w:p>
        </w:tc>
        <w:tc>
          <w:tcPr>
            <w:tcW w:type="dxa" w:w="1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$18M</w:t>
            </w:r>
          </w:p>
        </w:tc>
        <w:tc>
          <w:tcPr>
            <w:tcW w:type="dxa" w:w="1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$16M</w:t>
            </w:r>
          </w:p>
        </w:tc>
        <w:tc>
          <w:tcPr>
            <w:tcW w:type="dxa" w:w="1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$14M</w:t>
            </w:r>
          </w:p>
        </w:tc>
        <w:tc>
          <w:tcPr>
            <w:tcW w:type="dxa" w:w="12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$12M</w:t>
            </w:r>
          </w:p>
        </w:tc>
      </w:tr>
    </w:tbl>
    <w:p>
      <w:pPr>
        <w:spacing w:after="120"/>
      </w:pPr>
      <w:r>
        <w:rPr>
          <w:rFonts w:ascii="Calibri" w:cs="Calibri" w:eastAsia="Calibri" w:hAnsi="Calibri"/>
          <w:color w:val="7A7974"/>
          <w:sz w:val="19"/>
          <w:szCs w:val="19"/>
        </w:rPr>
        <w:t xml:space="preserve">Hub-S1 revenue share of SAM: 2028E 16.7% → 2035F 57.3% — a rapidly accelerating market share capture structure.</w:t>
      </w:r>
    </w:p>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7 — Commercialization Roadmap (3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answers: when, what, and with whom to execute. It serves as a directly actionable quarterly action plan for the business development and partnerships teams.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2200"/>
        <w:gridCol w:w="3538"/>
      </w:tblGrid>
      <w:tr>
        <w:trPr>
          <w:tblHeader/>
        </w:trPr>
        <w:tc>
          <w:tcPr>
            <w:tcW w:type="dxa" w:w="9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Phase</w:t>
            </w:r>
          </w:p>
        </w:tc>
        <w:tc>
          <w:tcPr>
            <w:tcW w:type="dxa" w:w="14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Period</w:t>
            </w:r>
          </w:p>
        </w:tc>
        <w:tc>
          <w:tcPr>
            <w:tcW w:type="dxa" w:w="16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Core Objective</w:t>
            </w:r>
          </w:p>
        </w:tc>
        <w:tc>
          <w:tcPr>
            <w:tcW w:type="dxa" w:w="2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Key Partners</w:t>
            </w:r>
          </w:p>
        </w:tc>
        <w:tc>
          <w:tcPr>
            <w:tcW w:type="dxa" w:w="35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Success Criteria</w:t>
            </w:r>
          </w:p>
        </w:tc>
      </w:tr>
      <w:tr>
        <w:tc>
          <w:tcPr>
            <w:tcW w:type="dxa" w:w="9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Phase 1</w:t>
            </w:r>
          </w:p>
        </w:tc>
        <w:tc>
          <w:tcPr>
            <w:tcW w:type="dxa" w:w="1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2026–2028</w:t>
            </w:r>
          </w:p>
        </w:tc>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DC Cooling Pilot</w:t>
            </w:r>
          </w:p>
        </w:tc>
        <w:tc>
          <w:tcPr>
            <w:tcW w:type="dxa" w:w="2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Samsung SDS, SK Telecom, KEPCO</w:t>
            </w:r>
          </w:p>
        </w:tc>
        <w:tc>
          <w:tcPr>
            <w:tcW w:type="dxa" w:w="35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Hub-S1 PoC contract + priority power supply secured</w:t>
            </w:r>
          </w:p>
        </w:tc>
      </w:tr>
      <w:tr>
        <w:tc>
          <w:tcPr>
            <w:tcW w:type="dxa" w:w="9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Phase 2</w:t>
            </w:r>
          </w:p>
        </w:tc>
        <w:tc>
          <w:tcPr>
            <w:tcW w:type="dxa" w:w="1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2028–2032</w:t>
            </w:r>
          </w:p>
        </w:tc>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SMR + LNG Integration</w:t>
            </w:r>
          </w:p>
        </w:tc>
        <w:tc>
          <w:tcPr>
            <w:tcW w:type="dxa" w:w="2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KHNP, LNG CCGT operators, manufacturers</w:t>
            </w:r>
          </w:p>
        </w:tc>
        <w:tc>
          <w:tcPr>
            <w:tcW w:type="dxa" w:w="35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i-SMR MOU + LNG eCO₂ bottoming cycle LOI</w:t>
            </w:r>
          </w:p>
        </w:tc>
      </w:tr>
      <w:tr>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Phase 3</w:t>
            </w:r>
          </w:p>
        </w:tc>
        <w:tc>
          <w:tcPr>
            <w:tcW w:type="dxa" w:w="1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2032–2035+</w:t>
            </w:r>
          </w:p>
        </w:tc>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Industrial Expansion</w:t>
            </w:r>
          </w:p>
        </w:tc>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POSCO, Hyundai Steel, KETEP</w:t>
            </w:r>
          </w:p>
        </w:tc>
        <w:tc>
          <w:tcPr>
            <w:tcW w:type="dxa" w:w="35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KETEP R&amp;D project + global SMR export package</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7.1 2026 Immediate Action Items — Quarterly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3838"/>
      </w:tblGrid>
      <w:tr>
        <w:trPr>
          <w:tblHeader/>
        </w:trPr>
        <w:tc>
          <w:tcPr>
            <w:tcW w:type="dxa" w:w="10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Quarter</w:t>
            </w:r>
          </w:p>
        </w:tc>
        <w:tc>
          <w:tcPr>
            <w:tcW w:type="dxa" w:w="3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Action</w:t>
            </w:r>
          </w:p>
        </w:tc>
        <w:tc>
          <w:tcPr>
            <w:tcW w:type="dxa" w:w="1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Owner</w:t>
            </w:r>
          </w:p>
        </w:tc>
        <w:tc>
          <w:tcPr>
            <w:tcW w:type="dxa" w:w="38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Success Metric</w:t>
            </w:r>
          </w:p>
        </w:tc>
      </w:tr>
      <w:tr>
        <w:tc>
          <w:tcPr>
            <w:tcW w:type="dxa" w:w="1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Q2 2026</w:t>
            </w:r>
          </w:p>
        </w:tc>
        <w:tc>
          <w:tcPr>
            <w:tcW w:type="dxa" w:w="3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Finalize Hub-S1 module design + send manufacturer RFQ</w:t>
            </w:r>
          </w:p>
        </w:tc>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Tech Team</w:t>
            </w:r>
          </w:p>
        </w:tc>
        <w:tc>
          <w:tcPr>
            <w:tcW w:type="dxa" w:w="38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Receive quotes from 3+ manufacturers</w:t>
            </w:r>
          </w:p>
        </w:tc>
      </w:tr>
      <w:tr>
        <w:tc>
          <w:tcPr>
            <w:tcW w:type="dxa" w:w="1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Q3 2026</w:t>
            </w:r>
          </w:p>
        </w:tc>
        <w:tc>
          <w:tcPr>
            <w:tcW w:type="dxa" w:w="3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Submit PoC proposals for Samsung SDS Gwacheon / SK Telecom Seongsu DC</w:t>
            </w:r>
          </w:p>
        </w:tc>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Business Dev</w:t>
            </w:r>
          </w:p>
        </w:tc>
        <w:tc>
          <w:tcPr>
            <w:tcW w:type="dxa" w:w="38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Proposal accepted + internal review initiated</w:t>
            </w:r>
          </w:p>
        </w:tc>
      </w:tr>
      <w:tr>
        <w:tc>
          <w:tcPr>
            <w:tcW w:type="dxa" w:w="1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Q3 2026</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KEPCO Distributed Energy Zone priority power supply application</w:t>
            </w:r>
          </w:p>
        </w:tc>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Government Relations</w:t>
            </w:r>
          </w:p>
        </w:tc>
        <w:tc>
          <w:tcPr>
            <w:tcW w:type="dxa" w:w="3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Application submitted + officer interview</w:t>
            </w:r>
          </w:p>
        </w:tc>
      </w:tr>
      <w:tr>
        <w:tc>
          <w:tcPr>
            <w:tcW w:type="dxa" w:w="1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Q4 2026</w:t>
            </w:r>
          </w:p>
        </w:tc>
        <w:tc>
          <w:tcPr>
            <w:tcW w:type="dxa" w:w="3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KHNP i-SMR Research Center preliminary meeting</w:t>
            </w:r>
          </w:p>
        </w:tc>
        <w:tc>
          <w:tcPr>
            <w:tcW w:type="dxa" w:w="16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Tech + Business Teams</w:t>
            </w:r>
          </w:p>
        </w:tc>
        <w:tc>
          <w:tcPr>
            <w:tcW w:type="dxa" w:w="38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Tech briefing complete + MOU draft discussions</w:t>
            </w:r>
          </w:p>
        </w:tc>
      </w:tr>
      <w:tr>
        <w:tc>
          <w:tcPr>
            <w:tcW w:type="dxa" w:w="1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Q4 2026</w:t>
            </w:r>
          </w:p>
        </w:tc>
        <w:tc>
          <w:tcPr>
            <w:tcW w:type="dxa" w:w="3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KETEP eCO₂ R&amp;D project pre-planning</w:t>
            </w:r>
          </w:p>
        </w:tc>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R&amp;D Team</w:t>
            </w:r>
          </w:p>
        </w:tc>
        <w:tc>
          <w:tcPr>
            <w:tcW w:type="dxa" w:w="3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Draft of 2027 call application completed</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8 — B-1 Deliverables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is the index for all B-1 deliverables, including B-1f (this report) — 16 files total (KR+EN pairs) across 6 stages. It is the official record for project management, audit, and version tracking.</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2400"/>
        <w:gridCol w:w="3038"/>
      </w:tblGrid>
      <w:tr>
        <w:trPr>
          <w:tblHeader/>
        </w:trPr>
        <w:tc>
          <w:tcPr>
            <w:tcW w:type="dxa" w:w="9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Stage</w:t>
            </w:r>
          </w:p>
        </w:tc>
        <w:tc>
          <w:tcPr>
            <w:tcW w:type="dxa" w:w="24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Deliverable</w:t>
            </w:r>
          </w:p>
        </w:tc>
        <w:tc>
          <w:tcPr>
            <w:tcW w:type="dxa" w:w="9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Format</w:t>
            </w:r>
          </w:p>
        </w:tc>
        <w:tc>
          <w:tcPr>
            <w:tcW w:type="dxa" w:w="24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Key Content</w:t>
            </w:r>
          </w:p>
        </w:tc>
        <w:tc>
          <w:tcPr>
            <w:tcW w:type="dxa" w:w="30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Use Case</w:t>
            </w:r>
          </w:p>
        </w:tc>
      </w:tr>
      <w:tr>
        <w:tc>
          <w:tcPr>
            <w:tcW w:type="dxa" w:w="9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B-1a</w:t>
            </w:r>
          </w:p>
        </w:tc>
        <w:tc>
          <w:tcPr>
            <w:tcW w:type="dxa" w:w="2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Application_Priority_Matrix + Market_Data</w:t>
            </w:r>
          </w:p>
        </w:tc>
        <w:tc>
          <w:tcPr>
            <w:tcW w:type="dxa" w:w="9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CSV × 4</w:t>
            </w:r>
          </w:p>
        </w:tc>
        <w:tc>
          <w:tcPr>
            <w:tcW w:type="dxa" w:w="24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6-sector scoring + market data</w:t>
            </w:r>
          </w:p>
        </w:tc>
        <w:tc>
          <w:tcPr>
            <w:tcW w:type="dxa" w:w="30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Source data for Section 3 tables</w:t>
            </w:r>
          </w:p>
        </w:tc>
      </w:tr>
      <w:tr>
        <w:tc>
          <w:tcPr>
            <w:tcW w:type="dxa" w:w="9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B-1b</w:t>
            </w:r>
          </w:p>
        </w:tc>
        <w:tc>
          <w:tcPr>
            <w:tcW w:type="dxa" w:w="2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Bubble_Priority + Market_Forecast</w:t>
            </w:r>
          </w:p>
        </w:tc>
        <w:tc>
          <w:tcPr>
            <w:tcW w:type="dxa" w:w="9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PNG × 4</w:t>
            </w:r>
          </w:p>
        </w:tc>
        <w:tc>
          <w:tcPr>
            <w:tcW w:type="dxa" w:w="24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Bubble chart + growth bar chart</w:t>
            </w:r>
          </w:p>
        </w:tc>
        <w:tc>
          <w:tcPr>
            <w:tcW w:type="dxa" w:w="30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Chart source for Sections 3 &amp; 4</w:t>
            </w:r>
          </w:p>
        </w:tc>
      </w:tr>
      <w:tr>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B-1c</w:t>
            </w:r>
          </w:p>
        </w:tc>
        <w:tc>
          <w:tcPr>
            <w:tcW w:type="dxa" w:w="2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Intro_Vision</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DOCX × 2</w:t>
            </w:r>
          </w:p>
        </w:tc>
        <w:tc>
          <w:tcPr>
            <w:tcW w:type="dxa" w:w="2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Intro/Vision Word document (2 charts embedded)</w:t>
            </w:r>
          </w:p>
        </w:tc>
        <w:tc>
          <w:tcPr>
            <w:tcW w:type="dxa" w:w="30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Distribution to investors and partners</w:t>
            </w:r>
          </w:p>
        </w:tc>
      </w:tr>
      <w:tr>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B-1d</w:t>
            </w:r>
          </w:p>
        </w:tc>
        <w:tc>
          <w:tcPr>
            <w:tcW w:type="dxa" w:w="2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Market_Model</w:t>
            </w:r>
          </w:p>
        </w:tc>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XLSX × 2</w:t>
            </w:r>
          </w:p>
        </w:tc>
        <w:tc>
          <w:tcPr>
            <w:tcW w:type="dxa" w:w="2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Financial auxiliary tables 6 sheets (formulas, 3 scenarios)</w:t>
            </w:r>
          </w:p>
        </w:tc>
        <w:tc>
          <w:tcPr>
            <w:tcW w:type="dxa" w:w="30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CFO and financial analyst verification</w:t>
            </w:r>
          </w:p>
        </w:tc>
      </w:tr>
      <w:tr>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B-1e</w:t>
            </w:r>
          </w:p>
        </w:tc>
        <w:tc>
          <w:tcPr>
            <w:tcW w:type="dxa" w:w="2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Summary</w:t>
            </w:r>
          </w:p>
        </w:tc>
        <w:tc>
          <w:tcPr>
            <w:tcW w:type="dxa" w:w="9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PPTX × 2</w:t>
            </w:r>
          </w:p>
        </w:tc>
        <w:tc>
          <w:tcPr>
            <w:tcW w:type="dxa" w:w="24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10-slide summary deck</w:t>
            </w:r>
          </w:p>
        </w:tc>
        <w:tc>
          <w:tcPr>
            <w:tcW w:type="dxa" w:w="30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Executive presentation</w:t>
            </w:r>
          </w:p>
        </w:tc>
      </w:tr>
      <w:tr>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B-1f</w:t>
            </w:r>
          </w:p>
        </w:tc>
        <w:tc>
          <w:tcPr>
            <w:tcW w:type="dxa" w:w="2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Final_Report</w:t>
            </w:r>
          </w:p>
        </w:tc>
        <w:tc>
          <w:tcPr>
            <w:tcW w:type="dxa" w:w="9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DOCX × 2</w:t>
            </w:r>
          </w:p>
        </w:tc>
        <w:tc>
          <w:tcPr>
            <w:tcW w:type="dxa" w:w="24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Final integrated report (this document)</w:t>
            </w:r>
          </w:p>
        </w:tc>
        <w:tc>
          <w:tcPr>
            <w:tcW w:type="dxa" w:w="30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Official commercialization strategy reference</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9 — Conclusion: Why B★, Why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Role of This Section</w:t>
      </w:r>
    </w:p>
    <w:p>
      <w:pPr>
        <w:spacing w:after="120"/>
      </w:pPr>
      <w:r>
        <w:rPr>
          <w:rFonts w:ascii="Calibri" w:cs="Calibri" w:eastAsia="Calibri" w:hAnsi="Calibri"/>
          <w:color w:val="28251D"/>
          <w:sz w:val="22"/>
          <w:szCs w:val="22"/>
        </w:rPr>
        <w:t xml:space="preserve">This section distills the strategic judgment of the entire report. It presents 3 core conclusions in highlighted boxes so that the final decision-maker can issue an "investment approval."</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tblHeader/>
        </w:trPr>
        <w:tc>
          <w:tcPr>
            <w:tcW w:type="dxa" w:w="16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Conclusion</w:t>
            </w:r>
          </w:p>
        </w:tc>
        <w:tc>
          <w:tcPr>
            <w:tcW w:type="dxa" w:w="4200"/>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Core Claim</w:t>
            </w:r>
          </w:p>
        </w:tc>
        <w:tc>
          <w:tcPr>
            <w:tcW w:type="dxa" w:w="3838"/>
            <w:tcBorders>
              <w:top w:val="single" w:color="B0C0C2" w:sz="4"/>
              <w:left w:val="single" w:color="B0C0C2" w:sz="4"/>
              <w:bottom w:val="single" w:color="B0C0C2" w:sz="4"/>
              <w:right w:val="single" w:color="B0C0C2" w:sz="4"/>
            </w:tcBorders>
            <w:shd w:fill="01696F" w:color="01696F"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Supporting Data</w:t>
            </w:r>
          </w:p>
        </w:tc>
      </w:tr>
      <w:tr>
        <w:tc>
          <w:tcPr>
            <w:tcW w:type="dxa" w:w="16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Conclusion 1: Focus-Sequential Strategy</w:t>
            </w:r>
          </w:p>
        </w:tc>
        <w:tc>
          <w:tcPr>
            <w:tcW w:type="dxa" w:w="4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Realize early revenue at ★1 DC Cooling → sequentially expand to ★2 SMR/LNG</w:t>
            </w:r>
          </w:p>
        </w:tc>
        <w:tc>
          <w:tcPr>
            <w:tcW w:type="dxa" w:w="38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Optimal path to IRR 42.4% achievement (Section 6)</w:t>
            </w:r>
          </w:p>
        </w:tc>
      </w:tr>
      <w:tr>
        <w:tc>
          <w:tcPr>
            <w:tcW w:type="dxa" w:w="16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Conclusion 2: First-Mover Opportunity</w:t>
            </w:r>
          </w:p>
        </w:tc>
        <w:tc>
          <w:tcPr>
            <w:tcW w:type="dxa" w:w="4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Competitors do not yet have a compact eCO₂ composite solution</w:t>
            </w:r>
          </w:p>
        </w:tc>
        <w:tc>
          <w:tcPr>
            <w:tcW w:type="dxa" w:w="38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The only moment to claim patent, partnership, and pipeline first-mover position</w:t>
            </w:r>
          </w:p>
        </w:tc>
      </w:tr>
      <w:tr>
        <w:tc>
          <w:tcPr>
            <w:tcW w:type="dxa" w:w="16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Conclusion 3: Investment Attractiveness</w:t>
            </w:r>
          </w:p>
        </w:tc>
        <w:tc>
          <w:tcPr>
            <w:tcW w:type="dxa" w:w="4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IRR 42.4% / NPV $81.7M / 4-year Payback vs. CAPEX $18M</w:t>
            </w:r>
          </w:p>
        </w:tc>
        <w:tc>
          <w:tcPr>
            <w:tcW w:type="dxa" w:w="38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Top-tier returns in Korean energy and IT investment market</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9900" w:sz="8"/>
              <w:left w:val="single" w:color="D19900" w:sz="12"/>
              <w:bottom w:val="single" w:color="B0C0C2" w:sz="4"/>
              <w:right w:val="single" w:color="B0C0C2" w:sz="4"/>
            </w:tcBorders>
            <w:shd w:fill="FFF9E6" w:color="FFF9E6"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"2026 is the Golden Window for B★ eCO₂ technology market entry. The simultaneous activation of the three catalysts — mandatory AI DC liquid cooling, the SMR Act, and industrial tariff reform — makes the current moment the only opportunity to secure a first-mover position." — B★ Ch.1 Final Conclusion</w:t>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9.1 Ch.2 Preparation — Immediate Next Steps</w:t>
      </w:r>
    </w:p>
    <w:p>
      <w:pPr>
        <w:pStyle w:val="ListParagraph"/>
        <w:numPr>
          <w:ilvl w:val="0"/>
          <w:numId w:val="2"/>
        </w:numPr>
        <w:spacing w:after="100"/>
      </w:pPr>
      <w:r>
        <w:rPr>
          <w:rFonts w:ascii="Calibri" w:cs="Calibri" w:eastAsia="Calibri" w:hAnsi="Calibri"/>
          <w:color w:val="28251D"/>
          <w:sz w:val="22"/>
          <w:szCs w:val="22"/>
        </w:rPr>
        <w:t xml:space="preserve">Ch.2 Data Center Cooling Deep Analysis — technology stack, competitive mapping, partnerships</w:t>
      </w:r>
    </w:p>
    <w:p>
      <w:pPr>
        <w:pStyle w:val="ListParagraph"/>
        <w:numPr>
          <w:ilvl w:val="0"/>
          <w:numId w:val="2"/>
        </w:numPr>
        <w:spacing w:after="100"/>
      </w:pPr>
      <w:r>
        <w:rPr>
          <w:rFonts w:ascii="Calibri" w:cs="Calibri" w:eastAsia="Calibri" w:hAnsi="Calibri"/>
          <w:color w:val="28251D"/>
          <w:sz w:val="22"/>
          <w:szCs w:val="22"/>
        </w:rPr>
        <w:t xml:space="preserve">Hub-S1 Business Plan initial draft</w:t>
      </w:r>
    </w:p>
    <w:p>
      <w:pPr>
        <w:pStyle w:val="ListParagraph"/>
        <w:numPr>
          <w:ilvl w:val="0"/>
          <w:numId w:val="2"/>
        </w:numPr>
        <w:spacing w:after="100"/>
      </w:pPr>
      <w:r>
        <w:rPr>
          <w:rFonts w:ascii="Calibri" w:cs="Calibri" w:eastAsia="Calibri" w:hAnsi="Calibri"/>
          <w:color w:val="28251D"/>
          <w:sz w:val="22"/>
          <w:szCs w:val="22"/>
        </w:rPr>
        <w:t xml:space="preserve">Samsung SDS / SK Telecom PoC proposal documents</w:t>
      </w:r>
    </w:p>
    <w:p>
      <w:pPr>
        <w:pStyle w:val="ListParagraph"/>
        <w:numPr>
          <w:ilvl w:val="0"/>
          <w:numId w:val="2"/>
        </w:numPr>
        <w:spacing w:after="100"/>
      </w:pPr>
      <w:r>
        <w:rPr>
          <w:rFonts w:ascii="Calibri" w:cs="Calibri" w:eastAsia="Calibri" w:hAnsi="Calibri"/>
          <w:color w:val="28251D"/>
          <w:sz w:val="22"/>
          <w:szCs w:val="22"/>
        </w:rPr>
        <w:t xml:space="preserve">KHNP i-SMR Research Center technical meeting scheduling</w:t>
      </w:r>
    </w:p>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Section 10 — Reference Sources: Verification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pStyle w:val="Heading2"/>
        <w:spacing w:after="140" w:before="280"/>
      </w:pPr>
      <w:r>
        <w:rPr>
          <w:rFonts w:ascii="Arial" w:cs="Arial" w:eastAsia="Arial" w:hAnsi="Arial"/>
          <w:b/>
          <w:bCs/>
          <w:color w:val="28251D"/>
          <w:sz w:val="30"/>
          <w:szCs w:val="30"/>
        </w:rPr>
        <w:t xml:space="preserve">Source Reliability Classification</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1638"/>
      </w:tblGrid>
      <w:tr>
        <w:trPr>
          <w:tblHeader/>
        </w:trPr>
        <w:tc>
          <w:tcPr>
            <w:tcW w:type="dxa" w:w="22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Source</w:t>
            </w:r>
          </w:p>
        </w:tc>
        <w:tc>
          <w:tcPr>
            <w:tcW w:type="dxa" w:w="30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URL</w:t>
            </w:r>
          </w:p>
        </w:tc>
        <w:tc>
          <w:tcPr>
            <w:tcW w:type="dxa" w:w="18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Type</w:t>
            </w:r>
          </w:p>
        </w:tc>
        <w:tc>
          <w:tcPr>
            <w:tcW w:type="dxa" w:w="16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Reliability</w:t>
            </w:r>
          </w:p>
        </w:tc>
      </w:tr>
      <w:tr>
        <w:tc>
          <w:tcPr>
            <w:tcW w:type="dxa" w:w="22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KEPCO (2025)</w:t>
            </w:r>
          </w:p>
        </w:tc>
        <w:tc>
          <w:tcPr>
            <w:tcW w:type="dxa" w:w="30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https://home.kepco.co.kr</w:t>
            </w:r>
          </w:p>
        </w:tc>
        <w:tc>
          <w:tcPr>
            <w:tcW w:type="dxa" w:w="18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Government utility official release</w:t>
            </w:r>
          </w:p>
        </w:tc>
        <w:tc>
          <w:tcPr>
            <w:tcW w:type="dxa" w:w="16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Highest</w:t>
            </w:r>
          </w:p>
        </w:tc>
      </w:tr>
      <w:tr>
        <w:tc>
          <w:tcPr>
            <w:tcW w:type="dxa" w:w="22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NVIDIA GB200 NVL72</w:t>
            </w:r>
          </w:p>
        </w:tc>
        <w:tc>
          <w:tcPr>
            <w:tcW w:type="dxa" w:w="30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https://www.nvidia.com/en-us/data-center/gb200-nvl72/</w:t>
            </w:r>
          </w:p>
        </w:tc>
        <w:tc>
          <w:tcPr>
            <w:tcW w:type="dxa" w:w="18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Manufacturer official specification</w:t>
            </w:r>
          </w:p>
        </w:tc>
        <w:tc>
          <w:tcPr>
            <w:tcW w:type="dxa" w:w="16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Highest</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Mordor Intelligence (2025)</w:t>
            </w:r>
          </w:p>
        </w:tc>
        <w:tc>
          <w:tcPr>
            <w:tcW w:type="dxa" w:w="3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mordorintelligence.com</w:t>
            </w:r>
          </w:p>
        </w:tc>
        <w:tc>
          <w:tcPr>
            <w:tcW w:type="dxa" w:w="1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Professional market research firm</w:t>
            </w:r>
          </w:p>
        </w:tc>
        <w:tc>
          <w:tcPr>
            <w:tcW w:type="dxa" w:w="16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w:t>
            </w:r>
          </w:p>
        </w:tc>
      </w:tr>
      <w:tr>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Theia Global (2026) i-SMR</w:t>
            </w:r>
          </w:p>
        </w:tc>
        <w:tc>
          <w:tcPr>
            <w:tcW w:type="dxa" w:w="3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https://www.theia.global/...</w:t>
            </w:r>
          </w:p>
        </w:tc>
        <w:tc>
          <w:tcPr>
            <w:tcW w:type="dxa" w:w="1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Nuclear energy specialist media</w:t>
            </w:r>
          </w:p>
        </w:tc>
        <w:tc>
          <w:tcPr>
            <w:tcW w:type="dxa" w:w="16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NEI Magazine (2026) SMR Act</w:t>
            </w:r>
          </w:p>
        </w:tc>
        <w:tc>
          <w:tcPr>
            <w:tcW w:type="dxa" w:w="3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https://www.neimagazine.com/...</w:t>
            </w:r>
          </w:p>
        </w:tc>
        <w:tc>
          <w:tcPr>
            <w:tcW w:type="dxa" w:w="1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Nuclear industry trade publication</w:t>
            </w:r>
          </w:p>
        </w:tc>
        <w:tc>
          <w:tcPr>
            <w:tcW w:type="dxa" w:w="16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w:t>
            </w:r>
          </w:p>
        </w:tc>
      </w:tr>
      <w:tr>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McKinsey Global Institute</w:t>
            </w:r>
          </w:p>
        </w:tc>
        <w:tc>
          <w:tcPr>
            <w:tcW w:type="dxa" w:w="3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mckinsey.com</w:t>
            </w:r>
          </w:p>
        </w:tc>
        <w:tc>
          <w:tcPr>
            <w:tcW w:type="dxa" w:w="1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Global consulting research</w:t>
            </w:r>
          </w:p>
        </w:tc>
        <w:tc>
          <w:tcPr>
            <w:tcW w:type="dxa" w:w="16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IEA (2025)</w:t>
            </w:r>
          </w:p>
        </w:tc>
        <w:tc>
          <w:tcPr>
            <w:tcW w:type="dxa" w:w="3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https://www.iea.org/...</w:t>
            </w:r>
          </w:p>
        </w:tc>
        <w:tc>
          <w:tcPr>
            <w:tcW w:type="dxa" w:w="1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International Energy Agency official data</w:t>
            </w:r>
          </w:p>
        </w:tc>
        <w:tc>
          <w:tcPr>
            <w:tcW w:type="dxa" w:w="16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Highest</w:t>
            </w:r>
          </w:p>
        </w:tc>
      </w:tr>
      <w:tr>
        <w:tc>
          <w:tcPr>
            <w:tcW w:type="dxa" w:w="22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KETEP (2024)</w:t>
            </w:r>
          </w:p>
        </w:tc>
        <w:tc>
          <w:tcPr>
            <w:tcW w:type="dxa" w:w="30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https://www.ketep.re.kr</w:t>
            </w:r>
          </w:p>
        </w:tc>
        <w:tc>
          <w:tcPr>
            <w:tcW w:type="dxa" w:w="18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Korea Energy Technology Evaluation Institute</w:t>
            </w:r>
          </w:p>
        </w:tc>
        <w:tc>
          <w:tcPr>
            <w:tcW w:type="dxa" w:w="16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Highest</w:t>
            </w:r>
          </w:p>
        </w:tc>
      </w:tr>
      <w:tr>
        <w:tc>
          <w:tcPr>
            <w:tcW w:type="dxa" w:w="22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B★ Notion Internal Analysis</w:t>
            </w:r>
          </w:p>
        </w:tc>
        <w:tc>
          <w:tcPr>
            <w:tcW w:type="dxa" w:w="30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notion.so/32455ed...</w:t>
            </w:r>
          </w:p>
        </w:tc>
        <w:tc>
          <w:tcPr>
            <w:tcW w:type="dxa" w:w="18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Internal analysis (primary synthesis)</w:t>
            </w:r>
          </w:p>
        </w:tc>
        <w:tc>
          <w:tcPr>
            <w:tcW w:type="dxa" w:w="16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Medium</w:t>
            </w:r>
          </w:p>
        </w:tc>
      </w:tr>
    </w:tbl>
    <w:p>
      <w:pPr>
        <w:spacing w:after="80"/>
      </w:pPr>
      <w:r>
        <w:t xml:space="preserve"/>
      </w:r>
    </w:p>
    <w:p>
      <w:r>
        <w:br w:type="page"/>
      </w:r>
    </w:p>
    <w:p>
      <w:pPr>
        <w:pStyle w:val="Heading1"/>
        <w:spacing w:after="200" w:before="400"/>
      </w:pPr>
      <w:r>
        <w:rPr>
          <w:rFonts w:ascii="Arial" w:cs="Arial" w:eastAsia="Arial" w:hAnsi="Arial"/>
          <w:b/>
          <w:bCs/>
          <w:color w:val="1B474D"/>
          <w:sz w:val="40"/>
          <w:szCs w:val="40"/>
        </w:rPr>
        <w:t xml:space="preserve">Appendix — B★ Full Report Table of Contents (Ch.1 – Ch.12)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80"/>
      </w:pPr>
      <w:r>
        <w:t xml:space="preserve"/>
      </w:r>
    </w:p>
    <w:p>
      <w:pPr>
        <w:spacing w:after="120"/>
      </w:pPr>
      <w:r>
        <w:rPr>
          <w:rFonts w:ascii="Calibri" w:cs="Calibri" w:eastAsia="Calibri" w:hAnsi="Calibri"/>
          <w:color w:val="28251D"/>
          <w:sz w:val="22"/>
          <w:szCs w:val="22"/>
        </w:rPr>
        <w:t xml:space="preserve">The B★ eCO₂ Compact Commercialization Strategy report comprises 12 chapters in total. With Ch.1 now complete, the report will proceed sequentially from Ch.2.</w:t>
      </w:r>
    </w:p>
    <w:p>
      <w:pPr>
        <w:spacing w:after="80"/>
      </w:pPr>
      <w:r>
        <w:t xml:space="preserve"/>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100"/>
        <w:gridCol w:w="1338"/>
      </w:tblGrid>
      <w:tr>
        <w:trPr>
          <w:tblHeader/>
        </w:trPr>
        <w:tc>
          <w:tcPr>
            <w:tcW w:type="dxa" w:w="7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Chapter</w:t>
            </w:r>
          </w:p>
        </w:tc>
        <w:tc>
          <w:tcPr>
            <w:tcW w:type="dxa" w:w="25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Title</w:t>
            </w:r>
          </w:p>
        </w:tc>
        <w:tc>
          <w:tcPr>
            <w:tcW w:type="dxa" w:w="4100"/>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Key Contents</w:t>
            </w:r>
          </w:p>
        </w:tc>
        <w:tc>
          <w:tcPr>
            <w:tcW w:type="dxa" w:w="1338"/>
            <w:tcBorders>
              <w:top w:val="single" w:color="B0C0C2" w:sz="4"/>
              <w:left w:val="single" w:color="B0C0C2" w:sz="4"/>
              <w:bottom w:val="single" w:color="B0C0C2" w:sz="4"/>
              <w:right w:val="single" w:color="B0C0C2" w:sz="4"/>
            </w:tcBorders>
            <w:shd w:fill="1B474D" w:color="1B474D" w:val="clear"/>
            <w:tcMar>
              <w:top w:type="dxa" w:w="60"/>
              <w:left w:type="dxa" w:w="100"/>
              <w:bottom w:type="dxa" w:w="60"/>
              <w:right w:type="dxa" w:w="100"/>
            </w:tcMar>
            <w:vAlign w:val="center"/>
          </w:tcPr>
          <w:p>
            <w:pPr>
              <w:spacing w:after="0"/>
              <w:jc w:val="center"/>
            </w:pPr>
            <w:r>
              <w:rPr>
                <w:rFonts w:ascii="Arial" w:cs="Arial" w:eastAsia="Arial" w:hAnsi="Arial"/>
                <w:b/>
                <w:bCs/>
                <w:color w:val="FFFFFF"/>
                <w:sz w:val="19"/>
                <w:szCs w:val="19"/>
              </w:rPr>
              <w:t xml:space="preserve">Status</w:t>
            </w:r>
          </w:p>
        </w:tc>
      </w:tr>
      <w:tr>
        <w:tc>
          <w:tcPr>
            <w:tcW w:type="dxa" w:w="7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center"/>
            </w:pPr>
            <w:r>
              <w:rPr>
                <w:rFonts w:ascii="Arial" w:cs="Arial" w:eastAsia="Arial" w:hAnsi="Arial"/>
                <w:b/>
                <w:bCs/>
                <w:color w:val="1B474D"/>
                <w:sz w:val="19"/>
                <w:szCs w:val="19"/>
              </w:rPr>
              <w:t xml:space="preserve">Ch.1</w:t>
            </w:r>
          </w:p>
        </w:tc>
        <w:tc>
          <w:tcPr>
            <w:tcW w:type="dxa" w:w="25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bCs/>
                <w:color w:val="1B474D"/>
                <w:sz w:val="19"/>
                <w:szCs w:val="19"/>
              </w:rPr>
              <w:t xml:space="preserve">Application Priority Analysis</w:t>
            </w:r>
          </w:p>
        </w:tc>
        <w:tc>
          <w:tcPr>
            <w:tcW w:type="dxa" w:w="4100"/>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6-sector scoring, market analysis, financial KPIs, 3-phase roadmap</w:t>
            </w:r>
          </w:p>
        </w:tc>
        <w:tc>
          <w:tcPr>
            <w:tcW w:type="dxa" w:w="1338"/>
            <w:tcBorders>
              <w:top w:val="single" w:color="B0C0C2" w:sz="4"/>
              <w:left w:val="single" w:color="B0C0C2" w:sz="4"/>
              <w:bottom w:val="single" w:color="B0C0C2" w:sz="4"/>
              <w:right w:val="single" w:color="B0C0C2" w:sz="4"/>
            </w:tcBorders>
            <w:shd w:fill="FFF3CC" w:color="FFF3CC"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1B474D"/>
                <w:sz w:val="19"/>
                <w:szCs w:val="19"/>
              </w:rPr>
              <w:t xml:space="preserve">✅ Complete</w:t>
            </w:r>
          </w:p>
        </w:tc>
      </w:tr>
      <w:tr>
        <w:tc>
          <w:tcPr>
            <w:tcW w:type="dxa" w:w="7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center"/>
            </w:pPr>
            <w:r>
              <w:rPr>
                <w:rFonts w:ascii="Arial" w:cs="Arial" w:eastAsia="Arial" w:hAnsi="Arial"/>
                <w:b/>
                <w:bCs/>
                <w:color w:val="28251D"/>
                <w:sz w:val="19"/>
                <w:szCs w:val="19"/>
              </w:rPr>
              <w:t xml:space="preserve">Ch.2</w:t>
            </w:r>
          </w:p>
        </w:tc>
        <w:tc>
          <w:tcPr>
            <w:tcW w:type="dxa" w:w="25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bCs/>
                <w:color w:val="28251D"/>
                <w:sz w:val="19"/>
                <w:szCs w:val="19"/>
              </w:rPr>
              <w:t xml:space="preserve">Data Center Cooling &amp; Waste Heat Recovery Deep Analysis</w:t>
            </w:r>
          </w:p>
        </w:tc>
        <w:tc>
          <w:tcPr>
            <w:tcW w:type="dxa" w:w="4100"/>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Technology stack, competitive mapping, partnerships, PoC design</w:t>
            </w:r>
          </w:p>
        </w:tc>
        <w:tc>
          <w:tcPr>
            <w:tcW w:type="dxa" w:w="1338"/>
            <w:tcBorders>
              <w:top w:val="single" w:color="B0C0C2" w:sz="4"/>
              <w:left w:val="single" w:color="B0C0C2" w:sz="4"/>
              <w:bottom w:val="single" w:color="B0C0C2" w:sz="4"/>
              <w:right w:val="single" w:color="B0C0C2" w:sz="4"/>
            </w:tcBorders>
            <w:shd w:fill="E0F2F4" w:color="E0F2F4"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Starting Next</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Ch.3</w:t>
            </w:r>
          </w:p>
        </w:tc>
        <w:tc>
          <w:tcPr>
            <w:tcW w:type="dxa" w:w="2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Nuclear / SMR / Cogeneration Deep Analysis</w:t>
            </w:r>
          </w:p>
        </w:tc>
        <w:tc>
          <w:tcPr>
            <w:tcW w:type="dxa" w:w="4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i-SMR technical integration, KHNP cooperation structure, CHP economics</w:t>
            </w:r>
          </w:p>
        </w:tc>
        <w:tc>
          <w:tcPr>
            <w:tcW w:type="dxa" w:w="1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Ch.4</w:t>
            </w:r>
          </w:p>
        </w:tc>
        <w:tc>
          <w:tcPr>
            <w:tcW w:type="dxa" w:w="2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LNG &amp; Thermal Power Waste Heat Generation</w:t>
            </w:r>
          </w:p>
        </w:tc>
        <w:tc>
          <w:tcPr>
            <w:tcW w:type="dxa" w:w="4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CCGT eCO₂ bottoming cycle, efficiency analysis, market entry strategy</w:t>
            </w:r>
          </w:p>
        </w:tc>
        <w:tc>
          <w:tcPr>
            <w:tcW w:type="dxa" w:w="1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Ch.5</w:t>
            </w:r>
          </w:p>
        </w:tc>
        <w:tc>
          <w:tcPr>
            <w:tcW w:type="dxa" w:w="2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Industrial Heat Pumps (Steel / Petrochemical)</w:t>
            </w:r>
          </w:p>
        </w:tc>
        <w:tc>
          <w:tcPr>
            <w:tcW w:type="dxa" w:w="4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POSCO / Hyundai Steel application, high-temp heat pump design, ROI</w:t>
            </w:r>
          </w:p>
        </w:tc>
        <w:tc>
          <w:tcPr>
            <w:tcW w:type="dxa" w:w="1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Ch.6</w:t>
            </w:r>
          </w:p>
        </w:tc>
        <w:tc>
          <w:tcPr>
            <w:tcW w:type="dxa" w:w="2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Economics &amp; Financial Modeling</w:t>
            </w:r>
          </w:p>
        </w:tc>
        <w:tc>
          <w:tcPr>
            <w:tcW w:type="dxa" w:w="4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LCOE, detailed NPV/IRR, sensitivity analysis, cross-scenario comparison</w:t>
            </w:r>
          </w:p>
        </w:tc>
        <w:tc>
          <w:tcPr>
            <w:tcW w:type="dxa" w:w="1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Ch.7</w:t>
            </w:r>
          </w:p>
        </w:tc>
        <w:tc>
          <w:tcPr>
            <w:tcW w:type="dxa" w:w="2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Technical Certification &amp; Regulatory Strategy</w:t>
            </w:r>
          </w:p>
        </w:tc>
        <w:tc>
          <w:tcPr>
            <w:tcW w:type="dxa" w:w="4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IEC/IEEE/ASME certification roadmap, Korea/EU/US regulatory mapping</w:t>
            </w:r>
          </w:p>
        </w:tc>
        <w:tc>
          <w:tcPr>
            <w:tcW w:type="dxa" w:w="1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Ch.8</w:t>
            </w:r>
          </w:p>
        </w:tc>
        <w:tc>
          <w:tcPr>
            <w:tcW w:type="dxa" w:w="2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Commercialization Strategy &amp; Partnerships</w:t>
            </w:r>
          </w:p>
        </w:tc>
        <w:tc>
          <w:tcPr>
            <w:tcW w:type="dxa" w:w="4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 standalone / B+C cooperation scenarios, partnership ecosystem map</w:t>
            </w:r>
          </w:p>
        </w:tc>
        <w:tc>
          <w:tcPr>
            <w:tcW w:type="dxa" w:w="1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Ch.9</w:t>
            </w:r>
          </w:p>
        </w:tc>
        <w:tc>
          <w:tcPr>
            <w:tcW w:type="dxa" w:w="2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Manufacturing &amp; Supply Chain Strategy</w:t>
            </w:r>
          </w:p>
        </w:tc>
        <w:tc>
          <w:tcPr>
            <w:tcW w:type="dxa" w:w="4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Hub-S1 manufacturing roadmap, component supply chain, cost structure</w:t>
            </w:r>
          </w:p>
        </w:tc>
        <w:tc>
          <w:tcPr>
            <w:tcW w:type="dxa" w:w="1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Ch.10</w:t>
            </w:r>
          </w:p>
        </w:tc>
        <w:tc>
          <w:tcPr>
            <w:tcW w:type="dxa" w:w="2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Digital Control &amp; AI Optimization</w:t>
            </w:r>
          </w:p>
        </w:tc>
        <w:tc>
          <w:tcPr>
            <w:tcW w:type="dxa" w:w="4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Digital twin, predictive maintenance, AI-driven operation optimization</w:t>
            </w:r>
          </w:p>
        </w:tc>
        <w:tc>
          <w:tcPr>
            <w:tcW w:type="dxa" w:w="1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Ch.11</w:t>
            </w:r>
          </w:p>
        </w:tc>
        <w:tc>
          <w:tcPr>
            <w:tcW w:type="dxa" w:w="25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Global Expansion Strategy</w:t>
            </w:r>
          </w:p>
        </w:tc>
        <w:tc>
          <w:tcPr>
            <w:tcW w:type="dxa" w:w="4100"/>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Taiwan/US/Europe market entry roadmap, Czech APR-1400 linkage</w:t>
            </w:r>
          </w:p>
        </w:tc>
        <w:tc>
          <w:tcPr>
            <w:tcW w:type="dxa" w:w="1338"/>
            <w:tcBorders>
              <w:top w:val="single" w:color="B0C0C2" w:sz="4"/>
              <w:left w:val="single" w:color="B0C0C2" w:sz="4"/>
              <w:bottom w:val="single" w:color="B0C0C2" w:sz="4"/>
              <w:right w:val="single" w:color="B0C0C2" w:sz="4"/>
            </w:tcBorders>
            <w:shd w:fill="F5F5F0" w:color="F5F5F0"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r>
        <w:tc>
          <w:tcPr>
            <w:tcW w:type="dxa" w:w="7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center"/>
            </w:pPr>
            <w:r>
              <w:rPr>
                <w:rFonts w:ascii="Arial" w:cs="Arial" w:eastAsia="Arial" w:hAnsi="Arial"/>
                <w:b w:val="false"/>
                <w:bCs w:val="false"/>
                <w:color w:val="28251D"/>
                <w:sz w:val="19"/>
                <w:szCs w:val="19"/>
              </w:rPr>
              <w:t xml:space="preserve">Ch.12</w:t>
            </w:r>
          </w:p>
        </w:tc>
        <w:tc>
          <w:tcPr>
            <w:tcW w:type="dxa" w:w="25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Comprehensive Conclusions &amp; Strategic Recommendations</w:t>
            </w:r>
          </w:p>
        </w:tc>
        <w:tc>
          <w:tcPr>
            <w:tcW w:type="dxa" w:w="4100"/>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B★ vs. B+C final comparison, 2026–2035 integrated execution plan</w:t>
            </w:r>
          </w:p>
        </w:tc>
        <w:tc>
          <w:tcPr>
            <w:tcW w:type="dxa" w:w="1338"/>
            <w:tcBorders>
              <w:top w:val="single" w:color="B0C0C2" w:sz="4"/>
              <w:left w:val="single" w:color="B0C0C2" w:sz="4"/>
              <w:bottom w:val="single" w:color="B0C0C2" w:sz="4"/>
              <w:right w:val="single" w:color="B0C0C2" w:sz="4"/>
            </w:tcBorders>
            <w:shd w:fill="FFFFFF" w:color="FFFFFF" w:val="clear"/>
            <w:tcMar>
              <w:top w:type="dxa" w:w="55"/>
              <w:left w:type="dxa" w:w="100"/>
              <w:bottom w:type="dxa" w:w="55"/>
              <w:right w:type="dxa" w:w="100"/>
            </w:tcMar>
            <w:vAlign w:val="center"/>
          </w:tcPr>
          <w:p>
            <w:pPr>
              <w:spacing w:after="0"/>
              <w:jc w:val="left"/>
            </w:pPr>
            <w:r>
              <w:rPr>
                <w:rFonts w:ascii="Calibri" w:cs="Calibri" w:eastAsia="Calibri" w:hAnsi="Calibri"/>
                <w:b w:val="false"/>
                <w:bCs w:val="false"/>
                <w:color w:val="28251D"/>
                <w:sz w:val="19"/>
                <w:szCs w:val="19"/>
              </w:rPr>
              <w:t xml:space="preserve">⏳ Queued</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9900" w:sz="8"/>
              <w:left w:val="single" w:color="D19900" w:sz="12"/>
              <w:bottom w:val="single" w:color="B0C0C2" w:sz="4"/>
              <w:right w:val="single" w:color="B0C0C2" w:sz="4"/>
            </w:tcBorders>
            <w:shd w:fill="FFF9E6" w:color="FFF9E6" w:val="clear"/>
            <w:tcMar>
              <w:top w:type="dxa" w:w="100"/>
              <w:left w:type="dxa" w:w="160"/>
              <w:bottom w:type="dxa" w:w="100"/>
              <w:right w:type="dxa" w:w="160"/>
            </w:tcMar>
          </w:tcPr>
          <w:p>
            <w:pPr>
              <w:spacing w:after="0"/>
            </w:pPr>
            <w:r>
              <w:rPr>
                <w:rFonts w:ascii="Calibri" w:cs="Calibri" w:eastAsia="Calibri" w:hAnsi="Calibri"/>
                <w:color w:val="28251D"/>
                <w:sz w:val="21"/>
                <w:szCs w:val="21"/>
              </w:rPr>
              <w:t xml:space="preserve">Ch.2 Priority Rationale: Since the ★Priority 1 DC Cooling sector targets a H2 2026 pilot contract, an in-depth analysis of technology stack, competitive landscape, and partnerships is the most urgent deliverable for preparing Samsung SDS and SK Telecom PoC proposals.</w:t>
            </w:r>
          </w:p>
        </w:tc>
      </w:tr>
    </w:tbl>
    <w:p>
      <w:pPr>
        <w:spacing w:after="80"/>
      </w:pPr>
      <w:r>
        <w:t xml:space="preserve"/>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1696F" w:color="01696F" w:val="clear"/>
            <w:tcMar>
              <w:top w:type="dxa" w:w="2"/>
              <w:left w:type="dxa" w:w="0"/>
              <w:bottom w:type="dxa" w:w="2"/>
              <w:right w:type="dxa" w:w="0"/>
            </w:tcMar>
          </w:tcPr>
          <w:p>
            <w:pPr>
              <w:spacing w:after="0"/>
            </w:pPr>
            <w:r>
              <w:t xml:space="preserve"/>
            </w:r>
          </w:p>
        </w:tc>
      </w:tr>
    </w:tbl>
    <w:p>
      <w:pPr>
        <w:spacing w:after="100" w:before="200"/>
        <w:jc w:val="center"/>
      </w:pPr>
      <w:r>
        <w:rPr>
          <w:rFonts w:ascii="Arial" w:cs="Arial" w:eastAsia="Arial" w:hAnsi="Arial"/>
          <w:color w:val="7A7974"/>
          <w:sz w:val="22"/>
          <w:szCs w:val="22"/>
        </w:rPr>
        <w:t xml:space="preserve">— B★ eCO₂ Ch.1 Section Reference Guide — End —</w:t>
      </w:r>
    </w:p>
    <w:p>
      <w:pPr>
        <w:spacing w:after="200"/>
        <w:jc w:val="center"/>
      </w:pPr>
      <w:r>
        <w:rPr>
          <w:rFonts w:ascii="Calibri" w:cs="Calibri" w:eastAsia="Calibri" w:hAnsi="Calibri"/>
          <w:color w:val="7A7974"/>
          <w:sz w:val="18"/>
          <w:szCs w:val="18"/>
        </w:rPr>
        <w:t xml:space="preserve">March 15, 2026  |  B★ Project Team  |  Internal Reference Only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7A7974"/>
        <w:sz w:val="16"/>
        <w:szCs w:val="16"/>
      </w:rPr>
      <w:t xml:space="preserve">B★ Project Team  |  2026-03-15  |  </w:t>
    </w: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7A7974"/>
        <w:sz w:val="16"/>
        <w:szCs w:val="16"/>
      </w:rPr>
      <w:t xml:space="preserve">B★ eCO₂ Compact Strategy  |  Ch.1 Section Reference Guide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74D"/>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8251D"/>
      <w:sz w:val="30"/>
      <w:szCs w:val="30"/>
    </w:rPr>
  </w:style>
  <w:style w:type="paragraph" w:styleId="Heading3">
    <w:name w:val="Heading 3"/>
    <w:basedOn w:val="Normal"/>
    <w:next w:val="Normal"/>
    <w:qFormat/>
    <w:pPr>
      <w:spacing w:after="110" w:before="220"/>
      <w:outlineLvl w:val="2"/>
    </w:pPr>
    <w:rPr>
      <w:rFonts w:ascii="Arial" w:cs="Arial" w:eastAsia="Arial" w:hAnsi="Arial"/>
      <w:b/>
      <w:bCs/>
      <w:color w:val="0169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2026-03-15T14:18:32.847Z</dcterms:created>
  <dcterms:modified xsi:type="dcterms:W3CDTF">2026-03-15T14:18:32.847Z</dcterms:modified>
</cp:coreProperties>
</file>

<file path=docProps/custom.xml><?xml version="1.0" encoding="utf-8"?>
<Properties xmlns="http://schemas.openxmlformats.org/officeDocument/2006/custom-properties" xmlns:vt="http://schemas.openxmlformats.org/officeDocument/2006/docPropsVTypes"/>
</file>