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BACACHERI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367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BAGÉ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376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27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28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29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CURITIBA (CWB)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FOZ DO IGUAÇU (IGU)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385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515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514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GOIÂNIA (GYN)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IMPERATRIZ (IMP)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449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JOINVILLE (JOI)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399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LONDRINA (LDB)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409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NAVEGANTES (NVT)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458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PALMAS (PMW)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540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9/9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Serviço de Salvamento Aquático - SESAQ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Serviço de Salvamento Aquático - SESAQ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PAMPULHA (PLU)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467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419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PELOTAS (PET)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513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PETROLINA (PNZ)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476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SÃO LUIS (SLZ)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485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495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TERESINA (THE)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494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CENTRAL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426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1/8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Urgência - PANPAN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Urgência - PANPAN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427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2/8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Condição de Socorro - MAYDAY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Condição de Socorro - MAYDAY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428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3/8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9"/>
              </w:rPr>
              <w:t>Fluxograma para Condição de Urgência e Socorro fora da área de atuação do SESCINC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3"/>
              </w:rPr>
              <w:t>Condição de Urgência e Socorro fora da área de atuação do SESCINC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432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4/8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Médicas em Geral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Médicas em Geral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429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5/8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com Artigos Perigosos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com Artigos Perigosos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431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6/8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Desastre Natural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Desastre Natural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433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7/8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Vegetação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Vegetação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16280" cy="345647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345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AEROPORTO: URUGUAIANA (URG)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PLEM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ID DA EMERGÊNCIA: 430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0"/>
              </w:rPr>
              <w:t>SUL</w:t>
            </w:r>
            <w:r>
              <w:br/>
            </w:r>
            <w:r>
              <w:rPr>
                <w:rFonts w:ascii="Arial" w:hAnsi="Arial"/>
                <w:b w:val="0"/>
                <w:sz w:val="10"/>
              </w:rPr>
              <w:t>10/08/2026</w:t>
            </w:r>
          </w:p>
        </w:tc>
      </w:tr>
      <w:tr>
        <w:trPr>
          <w:trHeight w:val="260" w:hRule="exact"/>
          <w:cantSplit/>
        </w:trPr>
        <w:tc>
          <w:tcPr>
            <w:tcW w:type="dxa" w:w="1800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FLUXO 8/8</w:t>
            </w:r>
          </w:p>
        </w:tc>
        <w:tc>
          <w:tcPr>
            <w:tcW w:type="dxa" w:w="6355"/>
            <w:tcMar>
              <w:top w:w="8" w:type="dxa"/>
              <w:start w:w="8" w:type="dxa"/>
              <w:bottom w:w="8" w:type="dxa"/>
              <w:end w:w="8" w:type="dxa"/>
            </w:tcMar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1"/>
              </w:rPr>
              <w:t>Fluxograma para Emergências por Incêndio em Instalações</w:t>
            </w:r>
          </w:p>
        </w:tc>
        <w:tc>
          <w:tcPr>
            <w:tcW w:type="dxa" w:w="1160"/>
            <w:tcMar>
              <w:top w:w="8" w:type="dxa"/>
              <w:start w:w="8" w:type="dxa"/>
              <w:bottom w:w="8" w:type="dxa"/>
              <w:end w:w="8" w:type="dxa"/>
            </w:tcMar>
            <w:vMerge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/>
        </w:tc>
      </w:tr>
    </w:tbl>
    <w:p>
      <w:pPr>
        <w:spacing w:before="0" w:after="0" w:lineRule="exact" w:line="200"/>
      </w:pPr>
      <w:r>
        <w:rPr>
          <w:sz w:val="2"/>
        </w:rPr>
        <w:t xml:space="preserve"> </w:t>
      </w:r>
    </w:p>
    <w:tbl>
      <w:tblPr>
        <w:tblW w:type="dxa" w:w="9315"/>
        <w:jc w:val="center"/>
        <w:tblLayout w:type="fixed"/>
        <w:tblLook w:firstColumn="1" w:firstRow="1" w:lastColumn="0" w:lastRow="0" w:noHBand="0" w:noVBand="1" w:val="04A0"/>
      </w:tblPr>
      <w:tblGrid>
        <w:gridCol w:w="9316"/>
      </w:tblGrid>
      <w:tr>
        <w:trPr>
          <w:trHeight w:val="534" w:hRule="exact"/>
          <w:cantSplit/>
        </w:trPr>
        <w:tc>
          <w:tcPr>
            <w:tcW w:type="dxa" w:w="9315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8"/>
              </w:rPr>
              <w:t>Emergências por Incêndio em Instalações</w:t>
            </w:r>
          </w:p>
        </w:tc>
      </w:tr>
    </w:tbl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15152" cy="82042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15152" cy="8204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540" w:right="742" w:bottom="480" w:left="74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Todos os Aeroportos</dc:title>
  <dc:subject>Cabeçalhos editáveis e fluxogramas fixos</dc:subject>
  <dc:creator>AirportNow / Motiva</dc:creator>
  <cp:keywords>PLEM, fluxograma, cabeçalho editável,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