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7C8" w:rsidRDefault="002067C8">
      <w:pPr>
        <w:pStyle w:val="Ttulo1"/>
        <w:keepNext w:val="0"/>
        <w:widowControl w:val="0"/>
        <w:rPr>
          <w:rFonts w:ascii="Arial" w:hAnsi="Arial" w:cs="Arial"/>
        </w:rPr>
      </w:pPr>
    </w:p>
    <w:p w:rsidR="002067C8" w:rsidRDefault="002067C8">
      <w:pPr>
        <w:pStyle w:val="Ttulo1"/>
        <w:keepNext w:val="0"/>
        <w:widowControl w:val="0"/>
        <w:rPr>
          <w:rFonts w:ascii="Arial" w:hAnsi="Arial" w:cs="Arial"/>
        </w:rPr>
      </w:pPr>
    </w:p>
    <w:p w:rsidR="00840F03" w:rsidRDefault="008B2FDB">
      <w:pPr>
        <w:pStyle w:val="Ttulo1"/>
        <w:keepNext w:val="0"/>
        <w:widowControl w:val="0"/>
        <w:rPr>
          <w:rFonts w:ascii="Arial" w:hAnsi="Arial" w:cs="Arial"/>
        </w:rPr>
      </w:pPr>
      <w:r>
        <w:rPr>
          <w:rFonts w:ascii="Arial" w:hAnsi="Arial" w:cs="Arial"/>
        </w:rPr>
        <w:t>Licitación</w:t>
      </w:r>
    </w:p>
    <w:p w:rsidR="00840F03" w:rsidRDefault="00840F03">
      <w:pPr>
        <w:pStyle w:val="Outline"/>
        <w:widowControl w:val="0"/>
        <w:spacing w:before="0"/>
        <w:ind w:left="1440" w:hanging="1440"/>
        <w:jc w:val="center"/>
        <w:rPr>
          <w:rFonts w:ascii="Arial" w:hAnsi="Arial" w:cs="Arial"/>
          <w:sz w:val="72"/>
          <w:lang w:val="es-CO"/>
        </w:rPr>
      </w:pPr>
    </w:p>
    <w:p w:rsidR="00840F03" w:rsidRDefault="008B2FDB">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Mueblería Casa Morales</w:t>
      </w: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B2FD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Pr>
          <w:rFonts w:ascii="Arial" w:hAnsi="Arial" w:cs="Arial"/>
          <w:b/>
          <w:bCs/>
          <w:i/>
          <w:iCs/>
          <w:kern w:val="0"/>
          <w:sz w:val="40"/>
          <w:szCs w:val="24"/>
          <w:lang w:val="es"/>
        </w:rPr>
        <w:t>30/07/2019</w:t>
      </w: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B2FD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Pr>
          <w:rFonts w:ascii="Arial" w:hAnsi="Arial" w:cs="Arial"/>
          <w:b/>
          <w:bCs/>
          <w:i/>
          <w:iCs/>
          <w:kern w:val="0"/>
          <w:sz w:val="40"/>
          <w:szCs w:val="24"/>
          <w:lang w:val="es"/>
        </w:rPr>
        <w:t>30/08/2019</w:t>
      </w:r>
    </w:p>
    <w:p w:rsidR="00840F03" w:rsidRDefault="00840F03">
      <w:pPr>
        <w:pStyle w:val="Outline"/>
        <w:widowControl w:val="0"/>
        <w:spacing w:before="0"/>
        <w:ind w:left="1440" w:hanging="1440"/>
        <w:jc w:val="center"/>
        <w:rPr>
          <w:rFonts w:ascii="Arial" w:hAnsi="Arial" w:cs="Arial"/>
        </w:rPr>
      </w:pPr>
    </w:p>
    <w:p w:rsidR="00840F03" w:rsidRDefault="00840F03">
      <w:pPr>
        <w:pStyle w:val="Outline"/>
        <w:widowControl w:val="0"/>
        <w:spacing w:before="0"/>
        <w:jc w:val="center"/>
        <w:rPr>
          <w:rFonts w:ascii="Arial" w:hAnsi="Arial" w:cs="Arial"/>
          <w:i/>
          <w:iCs/>
          <w:kern w:val="0"/>
          <w:sz w:val="40"/>
          <w:szCs w:val="24"/>
        </w:rPr>
      </w:pPr>
    </w:p>
    <w:p w:rsidR="00840F03" w:rsidRDefault="008B2FDB">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Licitación pública</w:t>
      </w:r>
    </w:p>
    <w:p w:rsidR="00840F03" w:rsidRDefault="00840F03">
      <w:pPr>
        <w:pStyle w:val="Outline"/>
        <w:widowControl w:val="0"/>
        <w:spacing w:before="0"/>
        <w:jc w:val="center"/>
        <w:rPr>
          <w:rFonts w:ascii="Arial" w:hAnsi="Arial" w:cs="Arial"/>
          <w:i/>
          <w:iCs/>
          <w:kern w:val="0"/>
          <w:sz w:val="40"/>
          <w:szCs w:val="24"/>
        </w:rPr>
      </w:pPr>
    </w:p>
    <w:p w:rsidR="00840F03" w:rsidRDefault="008B2FDB">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rsidR="00840F03" w:rsidRDefault="008B2FDB">
      <w:pPr>
        <w:rPr>
          <w:rFonts w:ascii="Arial" w:hAnsi="Arial" w:cs="Arial"/>
        </w:rPr>
      </w:pPr>
      <w:r>
        <w:rPr>
          <w:rFonts w:ascii="Arial" w:hAnsi="Arial" w:cs="Arial"/>
        </w:rPr>
        <w:br w:type="page"/>
      </w:r>
    </w:p>
    <w:p w:rsidR="002067C8" w:rsidRDefault="002067C8">
      <w:pPr>
        <w:widowControl w:val="0"/>
        <w:tabs>
          <w:tab w:val="left" w:pos="1260"/>
          <w:tab w:val="right" w:leader="dot" w:pos="9000"/>
        </w:tabs>
        <w:ind w:left="720" w:hanging="720"/>
        <w:jc w:val="center"/>
        <w:rPr>
          <w:rFonts w:ascii="Arial" w:hAnsi="Arial" w:cs="Arial"/>
          <w:b/>
          <w:bCs/>
          <w:sz w:val="40"/>
        </w:rPr>
      </w:pPr>
    </w:p>
    <w:p w:rsidR="00840F03" w:rsidRDefault="008B2FDB" w:rsidP="004845C7">
      <w:pPr>
        <w:widowControl w:val="0"/>
        <w:tabs>
          <w:tab w:val="left" w:pos="1260"/>
          <w:tab w:val="right" w:leader="dot" w:pos="9000"/>
        </w:tabs>
        <w:spacing w:line="360" w:lineRule="auto"/>
        <w:ind w:left="720" w:hanging="720"/>
        <w:jc w:val="center"/>
        <w:rPr>
          <w:rFonts w:ascii="Arial" w:hAnsi="Arial" w:cs="Arial"/>
          <w:b/>
          <w:bCs/>
          <w:sz w:val="40"/>
        </w:rPr>
      </w:pPr>
      <w:r>
        <w:rPr>
          <w:rFonts w:ascii="Arial" w:hAnsi="Arial" w:cs="Arial"/>
          <w:b/>
          <w:bCs/>
          <w:sz w:val="40"/>
        </w:rPr>
        <w:t>Sección I.  Instrucciones a los Solicitantes</w:t>
      </w:r>
    </w:p>
    <w:p w:rsidR="00840F03" w:rsidRDefault="008B2FDB" w:rsidP="004845C7">
      <w:pPr>
        <w:pStyle w:val="Section1-head1"/>
        <w:spacing w:line="360" w:lineRule="auto"/>
        <w:rPr>
          <w:rFonts w:ascii="Arial" w:hAnsi="Arial" w:cs="Arial"/>
        </w:rPr>
      </w:pPr>
      <w:bookmarkStart w:id="0" w:name="_Toc97007817"/>
      <w:r>
        <w:rPr>
          <w:rFonts w:ascii="Arial" w:hAnsi="Arial" w:cs="Arial"/>
        </w:rPr>
        <w:t>A. Disposiciones Generales</w:t>
      </w:r>
      <w:bookmarkEnd w:id="0"/>
    </w:p>
    <w:tbl>
      <w:tblPr>
        <w:tblStyle w:val="Tabladecuadrcula5oscura-nfasis6"/>
        <w:tblW w:w="92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58"/>
        <w:gridCol w:w="10"/>
        <w:gridCol w:w="612"/>
        <w:gridCol w:w="154"/>
        <w:gridCol w:w="6974"/>
        <w:gridCol w:w="72"/>
        <w:gridCol w:w="29"/>
      </w:tblGrid>
      <w:tr w:rsidR="00840F03" w:rsidRPr="006603CA" w:rsidTr="0048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gridSpan w:val="3"/>
            <w:tcBorders>
              <w:top w:val="none" w:sz="0" w:space="0" w:color="auto"/>
              <w:left w:val="none" w:sz="0" w:space="0" w:color="auto"/>
              <w:right w:val="none" w:sz="0" w:space="0" w:color="auto"/>
            </w:tcBorders>
          </w:tcPr>
          <w:p w:rsidR="00840F03" w:rsidRPr="006603CA" w:rsidRDefault="008B2FDB" w:rsidP="004845C7">
            <w:pPr>
              <w:pStyle w:val="Section1-head2"/>
              <w:spacing w:line="360" w:lineRule="auto"/>
              <w:rPr>
                <w:rFonts w:ascii="Arial" w:hAnsi="Arial" w:cs="Arial"/>
                <w:b/>
              </w:rPr>
            </w:pPr>
            <w:bookmarkStart w:id="1" w:name="_Toc97007818"/>
            <w:r w:rsidRPr="006603CA">
              <w:rPr>
                <w:rFonts w:ascii="Arial" w:hAnsi="Arial" w:cs="Arial"/>
                <w:b/>
              </w:rPr>
              <w:t>1.</w:t>
            </w:r>
            <w:r w:rsidRPr="006603CA">
              <w:rPr>
                <w:rFonts w:ascii="Arial" w:hAnsi="Arial" w:cs="Arial"/>
                <w:b/>
              </w:rPr>
              <w:tab/>
              <w:t>Alcance de la Solicitud</w:t>
            </w:r>
            <w:bookmarkEnd w:id="1"/>
          </w:p>
        </w:tc>
        <w:tc>
          <w:tcPr>
            <w:tcW w:w="7229" w:type="dxa"/>
            <w:gridSpan w:val="4"/>
            <w:tcBorders>
              <w:top w:val="none" w:sz="0" w:space="0" w:color="auto"/>
              <w:left w:val="none" w:sz="0" w:space="0" w:color="auto"/>
              <w:right w:val="none" w:sz="0" w:space="0" w:color="auto"/>
            </w:tcBorders>
          </w:tcPr>
          <w:p w:rsidR="00840F03" w:rsidRPr="008603EF" w:rsidRDefault="008B2FDB" w:rsidP="004845C7">
            <w:pPr>
              <w:pStyle w:val="Prrafodelista"/>
              <w:widowControl w:val="0"/>
              <w:numPr>
                <w:ilvl w:val="1"/>
                <w:numId w:val="14"/>
              </w:numPr>
              <w:tabs>
                <w:tab w:val="left" w:pos="1260"/>
                <w:tab w:val="right" w:leader="dot" w:pos="9000"/>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845C7">
              <w:rPr>
                <w:rFonts w:ascii="Arial" w:hAnsi="Arial" w:cs="Arial"/>
                <w:b w:val="0"/>
                <w:color w:val="auto"/>
                <w:sz w:val="24"/>
                <w:szCs w:val="24"/>
              </w:rPr>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840F03" w:rsidRPr="006603CA" w:rsidTr="004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40F03" w:rsidRPr="006603CA" w:rsidRDefault="008B2FDB" w:rsidP="006603CA">
            <w:pPr>
              <w:pStyle w:val="Section1-head2"/>
              <w:rPr>
                <w:rFonts w:ascii="Arial" w:hAnsi="Arial" w:cs="Arial"/>
                <w:b/>
              </w:rPr>
            </w:pPr>
            <w:bookmarkStart w:id="2" w:name="_Toc97007820"/>
            <w:r w:rsidRPr="006603CA">
              <w:rPr>
                <w:rFonts w:ascii="Arial" w:hAnsi="Arial" w:cs="Arial"/>
                <w:b/>
              </w:rPr>
              <w:t>2.</w:t>
            </w:r>
            <w:r w:rsidRPr="006603CA">
              <w:rPr>
                <w:rFonts w:ascii="Arial" w:hAnsi="Arial" w:cs="Arial"/>
                <w:b/>
              </w:rPr>
              <w:tab/>
              <w:t>Fraude y Corrupción</w:t>
            </w:r>
            <w:bookmarkEnd w:id="2"/>
          </w:p>
        </w:tc>
        <w:tc>
          <w:tcPr>
            <w:tcW w:w="7229" w:type="dxa"/>
            <w:gridSpan w:val="4"/>
          </w:tcPr>
          <w:p w:rsidR="00840F03" w:rsidRPr="008603EF" w:rsidRDefault="00716221" w:rsidP="008603EF">
            <w:pPr>
              <w:pStyle w:val="Prrafodelista"/>
              <w:widowControl w:val="0"/>
              <w:numPr>
                <w:ilvl w:val="1"/>
                <w:numId w:val="15"/>
              </w:numPr>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La empresa Mueblería Casa Morales,</w:t>
            </w:r>
            <w:r w:rsidR="008B2FDB" w:rsidRPr="008603EF">
              <w:rPr>
                <w:rFonts w:ascii="Arial" w:hAnsi="Arial" w:cs="Arial"/>
                <w:sz w:val="24"/>
                <w:szCs w:val="24"/>
              </w:rPr>
              <w:t xml:space="preserve"> exige que todos los licitantes, proveedores, contratistas y consultores que participen en contratos de SC corp. observen las más estrictas normas de ética durante el proceso de licitación y de ejecución de dichos contratos. Para dar cumplimiento a esta política, la empresa SC corp.</w:t>
            </w:r>
          </w:p>
          <w:p w:rsidR="00840F03" w:rsidRPr="008603EF" w:rsidRDefault="00716221" w:rsidP="008603EF">
            <w:pPr>
              <w:pStyle w:val="Prrafodelista"/>
              <w:numPr>
                <w:ilvl w:val="0"/>
                <w:numId w:val="16"/>
              </w:numPr>
              <w:tabs>
                <w:tab w:val="left" w:pos="1260"/>
                <w:tab w:val="right" w:leader="dot" w:pos="900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w:t>
            </w:r>
            <w:r w:rsidR="008B2FDB" w:rsidRPr="008603EF">
              <w:rPr>
                <w:rFonts w:ascii="Arial" w:hAnsi="Arial" w:cs="Arial"/>
                <w:sz w:val="24"/>
                <w:szCs w:val="24"/>
              </w:rPr>
              <w:t xml:space="preserve">fine, para efectos de esta disposición, las siguientes expresiones: </w:t>
            </w:r>
          </w:p>
          <w:p w:rsidR="008603EF" w:rsidRDefault="008B2FDB" w:rsidP="008603EF">
            <w:pPr>
              <w:pStyle w:val="Prrafodelista"/>
              <w:widowControl w:val="0"/>
              <w:numPr>
                <w:ilvl w:val="0"/>
                <w:numId w:val="17"/>
              </w:numPr>
              <w:tabs>
                <w:tab w:val="left" w:pos="792"/>
              </w:tabs>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03EF">
              <w:rPr>
                <w:rFonts w:ascii="Arial" w:hAnsi="Arial" w:cs="Arial"/>
                <w:sz w:val="24"/>
                <w:szCs w:val="24"/>
              </w:rPr>
              <w:t>"Práctica corrupta" significa ofrecer, proporcionar, aceptar o solicitar, directa o indirectamente, cualquier cosa de valor con el fin de influir la actuación en la ejecución de contratos;</w:t>
            </w:r>
          </w:p>
          <w:p w:rsidR="008603EF" w:rsidRDefault="008603EF" w:rsidP="008603EF">
            <w:pPr>
              <w:pStyle w:val="Prrafodelista"/>
              <w:widowControl w:val="0"/>
              <w:numPr>
                <w:ilvl w:val="0"/>
                <w:numId w:val="17"/>
              </w:numPr>
              <w:tabs>
                <w:tab w:val="left" w:pos="792"/>
              </w:tabs>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8B2FDB" w:rsidRPr="008603EF">
              <w:rPr>
                <w:rFonts w:ascii="Arial" w:hAnsi="Arial" w:cs="Arial"/>
                <w:sz w:val="24"/>
                <w:szCs w:val="24"/>
              </w:rPr>
              <w:t>Práctica fraudulenta" significa la tergiversación o supresión de hechos con el fin de influir en el proceso de licitación o la ejecución de un contrato;</w:t>
            </w:r>
          </w:p>
          <w:p w:rsidR="008603EF" w:rsidRDefault="008B2FDB" w:rsidP="008603EF">
            <w:pPr>
              <w:pStyle w:val="Prrafodelista"/>
              <w:widowControl w:val="0"/>
              <w:numPr>
                <w:ilvl w:val="0"/>
                <w:numId w:val="17"/>
              </w:numPr>
              <w:tabs>
                <w:tab w:val="left" w:pos="792"/>
              </w:tabs>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03EF">
              <w:rPr>
                <w:rFonts w:ascii="Arial" w:hAnsi="Arial" w:cs="Arial"/>
                <w:sz w:val="24"/>
                <w:szCs w:val="24"/>
              </w:rPr>
              <w:t>“Prácticas colusorias” significa la confabulación o arreglo entre dos o más licitantes con o sin el conocimiento de la empresa, con el fin de establecer precios de ofertas a niveles artificiales no competitivos;</w:t>
            </w:r>
          </w:p>
          <w:p w:rsidR="00840F03" w:rsidRPr="008603EF" w:rsidRDefault="008B2FDB" w:rsidP="008603EF">
            <w:pPr>
              <w:pStyle w:val="Prrafodelista"/>
              <w:widowControl w:val="0"/>
              <w:numPr>
                <w:ilvl w:val="0"/>
                <w:numId w:val="17"/>
              </w:numPr>
              <w:tabs>
                <w:tab w:val="left" w:pos="792"/>
              </w:tabs>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03EF">
              <w:rPr>
                <w:rFonts w:ascii="Arial" w:hAnsi="Arial" w:cs="Arial"/>
                <w:sz w:val="24"/>
                <w:szCs w:val="24"/>
              </w:rPr>
              <w:t>“Practicas coercitivas” significa hacer daño o amenazar de hacer daño, directa o indirectamente, a personas o a su propiedad para influir su participación en un proceso de adquisición, o para afectar la ejecución de un contrato.</w:t>
            </w:r>
          </w:p>
          <w:p w:rsidR="00840F03" w:rsidRPr="008603EF" w:rsidRDefault="008B2FDB" w:rsidP="008603EF">
            <w:pPr>
              <w:pStyle w:val="Prrafodelista"/>
              <w:numPr>
                <w:ilvl w:val="0"/>
                <w:numId w:val="16"/>
              </w:numPr>
              <w:tabs>
                <w:tab w:val="left" w:pos="1260"/>
                <w:tab w:val="right" w:leader="dot" w:pos="900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03EF">
              <w:rPr>
                <w:rFonts w:ascii="Arial" w:hAnsi="Arial" w:cs="Arial"/>
                <w:sz w:val="24"/>
                <w:szCs w:val="24"/>
              </w:rPr>
              <w:t xml:space="preserve">rechazará la propuesta de adjudicación si determina que el Licitante seleccionado para dicha adjudicación ha participado directamente o a través de un agente, en </w:t>
            </w:r>
            <w:r w:rsidRPr="008603EF">
              <w:rPr>
                <w:rFonts w:ascii="Arial" w:hAnsi="Arial" w:cs="Arial"/>
                <w:sz w:val="24"/>
                <w:szCs w:val="24"/>
              </w:rPr>
              <w:lastRenderedPageBreak/>
              <w:t>actividades corruptas, fraudulentas, colusorias o coercitivas al competir por el contrato en cuestión.</w:t>
            </w:r>
          </w:p>
          <w:p w:rsidR="00840F03" w:rsidRPr="006603CA" w:rsidRDefault="00840F03" w:rsidP="006603CA">
            <w:pPr>
              <w:widowControl w:val="0"/>
              <w:tabs>
                <w:tab w:val="left" w:pos="1260"/>
                <w:tab w:val="right" w:leader="dot" w:pos="9000"/>
              </w:tabs>
              <w:spacing w:after="200"/>
              <w:ind w:left="565" w:hanging="565"/>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840F03" w:rsidRPr="006603CA" w:rsidRDefault="00840F03" w:rsidP="006603CA">
            <w:pPr>
              <w:tabs>
                <w:tab w:val="left" w:pos="1260"/>
                <w:tab w:val="right" w:leader="dot" w:pos="9000"/>
              </w:tabs>
              <w:ind w:left="565" w:hanging="5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F6805"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4F6805" w:rsidRPr="006603CA" w:rsidRDefault="004F6805" w:rsidP="006603CA">
            <w:pPr>
              <w:pStyle w:val="Head22"/>
              <w:rPr>
                <w:rFonts w:ascii="Arial" w:hAnsi="Arial" w:cs="Arial"/>
                <w:b/>
                <w:szCs w:val="24"/>
                <w:lang w:val="es-MX"/>
              </w:rPr>
            </w:pPr>
            <w:bookmarkStart w:id="3" w:name="_Toc437772321"/>
            <w:r w:rsidRPr="006603CA">
              <w:rPr>
                <w:rFonts w:ascii="Arial" w:hAnsi="Arial" w:cs="Arial"/>
                <w:b/>
                <w:szCs w:val="24"/>
                <w:lang w:val="es-MX"/>
              </w:rPr>
              <w:lastRenderedPageBreak/>
              <w:t>3.</w:t>
            </w:r>
            <w:r w:rsidRPr="006603CA">
              <w:rPr>
                <w:rFonts w:ascii="Arial" w:hAnsi="Arial" w:cs="Arial"/>
                <w:b/>
                <w:szCs w:val="24"/>
                <w:lang w:val="es-MX"/>
              </w:rPr>
              <w:tab/>
              <w:t>Calificación de los licitantes</w:t>
            </w:r>
            <w:bookmarkEnd w:id="3"/>
          </w:p>
        </w:tc>
        <w:tc>
          <w:tcPr>
            <w:tcW w:w="7200" w:type="dxa"/>
            <w:gridSpan w:val="3"/>
          </w:tcPr>
          <w:p w:rsidR="004F6805" w:rsidRPr="008603EF" w:rsidRDefault="004F6805" w:rsidP="006603CA">
            <w:pPr>
              <w:pStyle w:val="Prrafodelista"/>
              <w:widowControl w:val="0"/>
              <w:numPr>
                <w:ilvl w:val="1"/>
                <w:numId w:val="18"/>
              </w:numPr>
              <w:tabs>
                <w:tab w:val="left" w:pos="3744"/>
                <w:tab w:val="left" w:pos="4608"/>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Como parte integrante de sus ofertas los licitantes deberán:</w:t>
            </w:r>
          </w:p>
          <w:p w:rsidR="004F6805" w:rsidRDefault="004F6805" w:rsidP="004F6805">
            <w:pPr>
              <w:pStyle w:val="Prrafodelista"/>
              <w:widowControl w:val="0"/>
              <w:numPr>
                <w:ilvl w:val="0"/>
                <w:numId w:val="10"/>
              </w:numPr>
              <w:tabs>
                <w:tab w:val="left" w:pos="3744"/>
                <w:tab w:val="left" w:pos="4608"/>
              </w:tabs>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presentar un poder que faculte al firmante de la oferta para comprometer al Licitante, y</w:t>
            </w:r>
          </w:p>
          <w:p w:rsidR="004F6805" w:rsidRPr="008603EF" w:rsidRDefault="004F6805" w:rsidP="006603CA">
            <w:pPr>
              <w:pStyle w:val="Prrafodelista"/>
              <w:widowControl w:val="0"/>
              <w:numPr>
                <w:ilvl w:val="0"/>
                <w:numId w:val="10"/>
              </w:numPr>
              <w:tabs>
                <w:tab w:val="left" w:pos="3744"/>
                <w:tab w:val="left" w:pos="4608"/>
              </w:tabs>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actualizar toda la información que hayan proporcionado junto con la solicitud de precalificación, y seguir cumpliendo con los criterios mínimos especificados en los documentos de precalificación.</w:t>
            </w:r>
          </w:p>
        </w:tc>
      </w:tr>
      <w:tr w:rsidR="004F6805"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4F6805" w:rsidRPr="006603CA" w:rsidRDefault="004F6805" w:rsidP="006603CA">
            <w:pPr>
              <w:pStyle w:val="Head22"/>
              <w:rPr>
                <w:rFonts w:ascii="Arial" w:hAnsi="Arial" w:cs="Arial"/>
                <w:b/>
                <w:szCs w:val="24"/>
                <w:lang w:val="es-MX"/>
              </w:rPr>
            </w:pPr>
          </w:p>
        </w:tc>
        <w:tc>
          <w:tcPr>
            <w:tcW w:w="7200" w:type="dxa"/>
            <w:gridSpan w:val="3"/>
          </w:tcPr>
          <w:p w:rsidR="004F6805" w:rsidRPr="008603EF" w:rsidRDefault="004F6805" w:rsidP="008603EF">
            <w:pPr>
              <w:pStyle w:val="Prrafodelista"/>
              <w:widowControl w:val="0"/>
              <w:numPr>
                <w:ilvl w:val="0"/>
                <w:numId w:val="10"/>
              </w:numPr>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6805">
              <w:rPr>
                <w:rFonts w:ascii="Arial" w:hAnsi="Arial" w:cs="Arial"/>
                <w:sz w:val="24"/>
                <w:szCs w:val="24"/>
              </w:rPr>
              <w:t>Como mínimo, los licitantes deberán actualizar la información relativa a los siguientes aspectos:</w:t>
            </w:r>
          </w:p>
          <w:p w:rsidR="004F6805" w:rsidRDefault="004F6805" w:rsidP="004F6805">
            <w:pPr>
              <w:pStyle w:val="Prrafodelista"/>
              <w:widowControl w:val="0"/>
              <w:numPr>
                <w:ilvl w:val="0"/>
                <w:numId w:val="12"/>
              </w:num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6805">
              <w:rPr>
                <w:rFonts w:ascii="Arial" w:hAnsi="Arial" w:cs="Arial"/>
                <w:sz w:val="24"/>
                <w:szCs w:val="24"/>
              </w:rPr>
              <w:t>acceso a líneas de crédito y disponibilidad de otros recursos financieros;</w:t>
            </w:r>
          </w:p>
          <w:p w:rsidR="004F6805" w:rsidRDefault="004F6805" w:rsidP="004F6805">
            <w:pPr>
              <w:pStyle w:val="Prrafodelista"/>
              <w:widowControl w:val="0"/>
              <w:numPr>
                <w:ilvl w:val="0"/>
                <w:numId w:val="12"/>
              </w:num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6805">
              <w:rPr>
                <w:rFonts w:ascii="Arial" w:hAnsi="Arial" w:cs="Arial"/>
                <w:sz w:val="24"/>
                <w:szCs w:val="24"/>
              </w:rPr>
              <w:t>las órdenes de trabajo que hayan recibido y los contratos que les hayan sido adjudicados con posterioridad a la precalificación;</w:t>
            </w:r>
          </w:p>
          <w:p w:rsidR="004F6805" w:rsidRDefault="004F6805" w:rsidP="004F6805">
            <w:pPr>
              <w:pStyle w:val="Prrafodelista"/>
              <w:widowControl w:val="0"/>
              <w:numPr>
                <w:ilvl w:val="0"/>
                <w:numId w:val="12"/>
              </w:num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6805">
              <w:rPr>
                <w:rFonts w:ascii="Arial" w:hAnsi="Arial" w:cs="Arial"/>
                <w:sz w:val="24"/>
                <w:szCs w:val="24"/>
              </w:rPr>
              <w:t>litigios en curso, y</w:t>
            </w:r>
          </w:p>
          <w:p w:rsidR="004F6805" w:rsidRPr="008603EF" w:rsidRDefault="004F6805" w:rsidP="008603EF">
            <w:pPr>
              <w:pStyle w:val="Prrafodelista"/>
              <w:widowControl w:val="0"/>
              <w:numPr>
                <w:ilvl w:val="0"/>
                <w:numId w:val="12"/>
              </w:num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6805">
              <w:rPr>
                <w:rFonts w:ascii="Arial" w:hAnsi="Arial" w:cs="Arial"/>
                <w:sz w:val="24"/>
                <w:szCs w:val="24"/>
              </w:rPr>
              <w:t>disponibilidad del equipo indispensable.</w:t>
            </w:r>
          </w:p>
        </w:tc>
      </w:tr>
      <w:tr w:rsidR="004F6805"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4F6805" w:rsidRPr="006603CA" w:rsidRDefault="004F6805" w:rsidP="006603CA">
            <w:pPr>
              <w:pStyle w:val="Head22"/>
              <w:rPr>
                <w:rFonts w:ascii="Arial" w:hAnsi="Arial" w:cs="Arial"/>
                <w:b/>
                <w:szCs w:val="24"/>
                <w:lang w:val="es-MX"/>
              </w:rPr>
            </w:pPr>
            <w:bookmarkStart w:id="4" w:name="_Toc437772322"/>
            <w:r w:rsidRPr="006603CA">
              <w:rPr>
                <w:rFonts w:ascii="Arial" w:hAnsi="Arial" w:cs="Arial"/>
                <w:b/>
                <w:szCs w:val="24"/>
                <w:lang w:val="es-MX"/>
              </w:rPr>
              <w:t>4.</w:t>
            </w:r>
            <w:r w:rsidRPr="006603CA">
              <w:rPr>
                <w:rFonts w:ascii="Arial" w:hAnsi="Arial" w:cs="Arial"/>
                <w:b/>
                <w:szCs w:val="24"/>
                <w:lang w:val="es-MX"/>
              </w:rPr>
              <w:tab/>
              <w:t>Una oferta por licitante</w:t>
            </w:r>
            <w:bookmarkEnd w:id="4"/>
          </w:p>
        </w:tc>
        <w:tc>
          <w:tcPr>
            <w:tcW w:w="7200" w:type="dxa"/>
            <w:gridSpan w:val="3"/>
          </w:tcPr>
          <w:p w:rsidR="004F6805" w:rsidRPr="008603EF" w:rsidRDefault="004F6805" w:rsidP="008603EF">
            <w:pPr>
              <w:pStyle w:val="Prrafodelista"/>
              <w:widowControl w:val="0"/>
              <w:numPr>
                <w:ilvl w:val="1"/>
                <w:numId w:val="21"/>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tc>
      </w:tr>
      <w:tr w:rsidR="008603EF"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603EF" w:rsidRPr="006603CA" w:rsidRDefault="008603EF" w:rsidP="006603CA">
            <w:pPr>
              <w:pStyle w:val="Head22"/>
              <w:rPr>
                <w:rFonts w:ascii="Arial" w:hAnsi="Arial" w:cs="Arial"/>
                <w:b/>
                <w:szCs w:val="24"/>
                <w:lang w:val="es-MX"/>
              </w:rPr>
            </w:pPr>
            <w:bookmarkStart w:id="5" w:name="_Toc437772330"/>
            <w:r w:rsidRPr="006603CA">
              <w:rPr>
                <w:rFonts w:ascii="Arial" w:hAnsi="Arial" w:cs="Arial"/>
                <w:b/>
                <w:szCs w:val="24"/>
                <w:lang w:val="es-MX"/>
              </w:rPr>
              <w:t>5.</w:t>
            </w:r>
            <w:r w:rsidRPr="006603CA">
              <w:rPr>
                <w:rFonts w:ascii="Arial" w:hAnsi="Arial" w:cs="Arial"/>
                <w:b/>
                <w:szCs w:val="24"/>
                <w:lang w:val="es-MX"/>
              </w:rPr>
              <w:tab/>
              <w:t>Idioma de la oferta</w:t>
            </w:r>
            <w:bookmarkEnd w:id="5"/>
          </w:p>
        </w:tc>
        <w:tc>
          <w:tcPr>
            <w:tcW w:w="7200" w:type="dxa"/>
            <w:gridSpan w:val="3"/>
          </w:tcPr>
          <w:p w:rsidR="008603EF" w:rsidRPr="0081592E" w:rsidRDefault="008603EF" w:rsidP="0081592E">
            <w:pPr>
              <w:pStyle w:val="Prrafodelista"/>
              <w:widowControl w:val="0"/>
              <w:numPr>
                <w:ilvl w:val="1"/>
                <w:numId w:val="23"/>
              </w:numPr>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1592E">
              <w:rPr>
                <w:rFonts w:ascii="Arial" w:hAnsi="Arial" w:cs="Arial"/>
                <w:sz w:val="24"/>
                <w:szCs w:val="24"/>
              </w:rPr>
              <w:t>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prevalecerá a los efectos de la interpretación de la oferta.</w:t>
            </w:r>
          </w:p>
          <w:p w:rsidR="008603EF" w:rsidRPr="006603CA" w:rsidRDefault="008603EF" w:rsidP="006603CA">
            <w:pPr>
              <w:widowControl w:val="0"/>
              <w:tabs>
                <w:tab w:val="left" w:pos="3744"/>
                <w:tab w:val="left" w:pos="4608"/>
              </w:tabs>
              <w:ind w:left="36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bookmarkStart w:id="6" w:name="_Toc437772331"/>
            <w:r w:rsidRPr="006603CA">
              <w:rPr>
                <w:rFonts w:ascii="Arial" w:hAnsi="Arial" w:cs="Arial"/>
                <w:b/>
                <w:szCs w:val="24"/>
                <w:lang w:val="es-MX"/>
              </w:rPr>
              <w:t>6.</w:t>
            </w:r>
            <w:r w:rsidRPr="006603CA">
              <w:rPr>
                <w:rFonts w:ascii="Arial" w:hAnsi="Arial" w:cs="Arial"/>
                <w:b/>
                <w:szCs w:val="24"/>
                <w:lang w:val="es-MX"/>
              </w:rPr>
              <w:tab/>
              <w:t>Documentos incluidos en la oferta</w:t>
            </w:r>
            <w:bookmarkEnd w:id="6"/>
          </w:p>
        </w:tc>
        <w:tc>
          <w:tcPr>
            <w:tcW w:w="7200" w:type="dxa"/>
            <w:gridSpan w:val="3"/>
          </w:tcPr>
          <w:p w:rsidR="0081592E" w:rsidRPr="0081592E" w:rsidRDefault="0081592E" w:rsidP="0081592E">
            <w:pPr>
              <w:pStyle w:val="Prrafodelista"/>
              <w:widowControl w:val="0"/>
              <w:numPr>
                <w:ilvl w:val="1"/>
                <w:numId w:val="25"/>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La oferta que presente el Licitante deberá incluir los siguientes documentos debidamente preparados:</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oferta y anexos; </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garantía de seriedad de la oferta;</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lista de precios unitarios y lista estimada de cantidades y sus precios;</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ofertas alternativas, cuando se soliciten, y </w:t>
            </w:r>
          </w:p>
          <w:p w:rsidR="0081592E" w:rsidRPr="006603CA" w:rsidRDefault="0081592E" w:rsidP="0081592E">
            <w:pPr>
              <w:widowControl w:val="0"/>
              <w:tabs>
                <w:tab w:val="left" w:pos="3744"/>
                <w:tab w:val="left" w:pos="4608"/>
              </w:tabs>
              <w:ind w:left="1037"/>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1592E" w:rsidRPr="006603CA" w:rsidRDefault="0081592E" w:rsidP="0081592E">
            <w:pPr>
              <w:widowControl w:val="0"/>
              <w:tabs>
                <w:tab w:val="left" w:pos="3744"/>
                <w:tab w:val="left" w:pos="4608"/>
              </w:tabs>
              <w:ind w:left="1037"/>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lastRenderedPageBreak/>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bookmarkStart w:id="7" w:name="_Toc437772333"/>
            <w:r w:rsidRPr="006603CA">
              <w:rPr>
                <w:rFonts w:ascii="Arial" w:hAnsi="Arial" w:cs="Arial"/>
                <w:b/>
                <w:szCs w:val="24"/>
                <w:lang w:val="es-MX"/>
              </w:rPr>
              <w:lastRenderedPageBreak/>
              <w:t>7.</w:t>
            </w:r>
            <w:r w:rsidRPr="006603CA">
              <w:rPr>
                <w:rFonts w:ascii="Arial" w:hAnsi="Arial" w:cs="Arial"/>
                <w:b/>
                <w:szCs w:val="24"/>
                <w:lang w:val="es-MX"/>
              </w:rPr>
              <w:tab/>
              <w:t>Monedas de la oferta y de pago</w:t>
            </w:r>
            <w:bookmarkEnd w:id="7"/>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1592E">
              <w:rPr>
                <w:rFonts w:ascii="Arial" w:hAnsi="Arial" w:cs="Arial"/>
                <w:sz w:val="24"/>
                <w:szCs w:val="24"/>
              </w:rPr>
              <w:t>Las monedas en que se cotice la oferta deberán estar en conformidad con las disposiciones de la Opción A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7.2) o de la Opción B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7.3) de las IAL. La opción aplicable será la que se especifique en los Datos de la licitación.</w:t>
            </w:r>
          </w:p>
          <w:p w:rsidR="0081592E" w:rsidRPr="006603CA" w:rsidRDefault="0081592E" w:rsidP="006603CA">
            <w:pPr>
              <w:widowControl w:val="0"/>
              <w:tabs>
                <w:tab w:val="left" w:pos="3744"/>
                <w:tab w:val="left" w:pos="4608"/>
              </w:tabs>
              <w:ind w:left="36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 xml:space="preserve">Opción A: </w:t>
            </w:r>
          </w:p>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El Licitante cotiza la oferta enteramente en moneda nacional</w:t>
            </w: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El Licitante deberá cotizar los precios unitarios de la Lista de precios unitarios y los precios de la Lista estimada de cantidades de la siguiente manera:</w:t>
            </w:r>
          </w:p>
          <w:p w:rsidR="0081592E" w:rsidRPr="006603CA" w:rsidRDefault="0081592E" w:rsidP="0081592E">
            <w:pPr>
              <w:widowControl w:val="0"/>
              <w:numPr>
                <w:ilvl w:val="0"/>
                <w:numId w:val="7"/>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rsidR="0081592E" w:rsidRPr="006603CA" w:rsidRDefault="0081592E" w:rsidP="0081592E">
            <w:pPr>
              <w:widowControl w:val="0"/>
              <w:tabs>
                <w:tab w:val="left" w:pos="3744"/>
                <w:tab w:val="left" w:pos="4608"/>
              </w:tabs>
              <w:ind w:left="107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1592E" w:rsidRPr="006603CA" w:rsidRDefault="0081592E" w:rsidP="0081592E">
            <w:pPr>
              <w:widowControl w:val="0"/>
              <w:numPr>
                <w:ilvl w:val="0"/>
                <w:numId w:val="8"/>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Opción B:</w:t>
            </w:r>
          </w:p>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 xml:space="preserve">El Licitante cotiza su oferta en moneda </w:t>
            </w:r>
            <w:r w:rsidRPr="006603CA">
              <w:rPr>
                <w:rFonts w:ascii="Arial" w:hAnsi="Arial" w:cs="Arial"/>
                <w:b/>
                <w:szCs w:val="24"/>
                <w:lang w:val="es-MX"/>
              </w:rPr>
              <w:lastRenderedPageBreak/>
              <w:t>nacional y en monedas extranjeras</w:t>
            </w: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1592E">
              <w:rPr>
                <w:rFonts w:ascii="Arial" w:hAnsi="Arial" w:cs="Arial"/>
                <w:sz w:val="24"/>
                <w:szCs w:val="24"/>
              </w:rPr>
              <w:lastRenderedPageBreak/>
              <w:t>El Licitante deberá cotizar separadamente los precios unitarios de la Lista de precios y los precios de la Lista estimada de cantidades de la siguiente manera:</w:t>
            </w:r>
          </w:p>
          <w:p w:rsidR="0081592E" w:rsidRPr="006603CA" w:rsidRDefault="0081592E" w:rsidP="0081592E">
            <w:pPr>
              <w:widowControl w:val="0"/>
              <w:numPr>
                <w:ilvl w:val="0"/>
                <w:numId w:val="9"/>
              </w:numPr>
              <w:tabs>
                <w:tab w:val="left" w:pos="3744"/>
                <w:tab w:val="left" w:pos="4608"/>
              </w:tabs>
              <w:suppressAutoHyphens/>
              <w:spacing w:after="200"/>
              <w:ind w:left="106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los precios de los insumos necesarios para las obras que el Licitante espera adquirir en el país del </w:t>
            </w:r>
            <w:r w:rsidRPr="006603CA">
              <w:rPr>
                <w:rFonts w:ascii="Arial" w:hAnsi="Arial" w:cs="Arial"/>
                <w:sz w:val="24"/>
                <w:szCs w:val="24"/>
              </w:rPr>
              <w:lastRenderedPageBreak/>
              <w:t xml:space="preserve">Contratante se expresarán en la moneda del país del Contratante que se especifique en los Datos de la licitación, en adelante denominada “moneda nacional” en las IAL y en las CGC, y </w:t>
            </w:r>
          </w:p>
          <w:p w:rsidR="0081592E" w:rsidRPr="006603CA" w:rsidRDefault="0081592E" w:rsidP="0081592E">
            <w:pPr>
              <w:widowControl w:val="0"/>
              <w:numPr>
                <w:ilvl w:val="0"/>
                <w:numId w:val="9"/>
              </w:numPr>
              <w:tabs>
                <w:tab w:val="left" w:pos="3744"/>
                <w:tab w:val="left" w:pos="4608"/>
              </w:tabs>
              <w:suppressAutoHyphens/>
              <w:spacing w:after="200"/>
              <w:ind w:left="106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03CA">
              <w:rPr>
                <w:rFonts w:ascii="Arial" w:hAnsi="Arial" w:cs="Arial"/>
                <w:sz w:val="24"/>
                <w:szCs w:val="24"/>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 xml:space="preserve">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15.2 de las IAL. Con este fin, el Licitante entregará un análisis detallado de los requerimientos en monedas extranjeras.</w:t>
            </w:r>
          </w:p>
        </w:tc>
      </w:tr>
      <w:tr w:rsidR="0081592E"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1592E">
              <w:rPr>
                <w:rFonts w:ascii="Arial" w:hAnsi="Arial" w:cs="Arial"/>
                <w:sz w:val="24"/>
                <w:szCs w:val="24"/>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rsidR="0081592E" w:rsidRPr="006603CA" w:rsidRDefault="0081592E" w:rsidP="006603CA">
            <w:pPr>
              <w:widowControl w:val="0"/>
              <w:tabs>
                <w:tab w:val="left" w:pos="3744"/>
                <w:tab w:val="left" w:pos="4608"/>
              </w:tabs>
              <w:ind w:left="36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Borders>
              <w:left w:val="none" w:sz="0" w:space="0" w:color="auto"/>
            </w:tcBorders>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De conformidad con la cláusula 3 de las CEC, se podrá pedir al Licitante ganador que presente una subdivisión de los precios globales y un análisis de los precios unitarios.</w:t>
            </w:r>
          </w:p>
        </w:tc>
      </w:tr>
      <w:tr w:rsidR="0081592E"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9180" w:type="dxa"/>
            <w:gridSpan w:val="6"/>
            <w:tcBorders>
              <w:left w:val="none" w:sz="0" w:space="0" w:color="auto"/>
            </w:tcBorders>
          </w:tcPr>
          <w:p w:rsidR="00ED1FA3" w:rsidRDefault="00ED1FA3" w:rsidP="0081592E">
            <w:pPr>
              <w:jc w:val="center"/>
              <w:rPr>
                <w:rFonts w:ascii="Arial" w:hAnsi="Arial" w:cs="Arial"/>
                <w:sz w:val="24"/>
                <w:szCs w:val="24"/>
              </w:rPr>
            </w:pPr>
          </w:p>
          <w:p w:rsidR="0081592E" w:rsidRPr="006603CA" w:rsidRDefault="0081592E" w:rsidP="0081592E">
            <w:pPr>
              <w:jc w:val="center"/>
              <w:rPr>
                <w:rFonts w:ascii="Arial" w:hAnsi="Arial" w:cs="Arial"/>
                <w:sz w:val="24"/>
                <w:szCs w:val="24"/>
              </w:rPr>
            </w:pPr>
            <w:r w:rsidRPr="006603CA">
              <w:rPr>
                <w:rFonts w:ascii="Arial" w:hAnsi="Arial" w:cs="Arial"/>
                <w:sz w:val="24"/>
                <w:szCs w:val="24"/>
              </w:rPr>
              <w:t>INTRODUCCIÓN</w:t>
            </w: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358" w:type="dxa"/>
            <w:tcBorders>
              <w:left w:val="none" w:sz="0" w:space="0" w:color="auto"/>
            </w:tcBorders>
          </w:tcPr>
          <w:p w:rsidR="0081592E" w:rsidRPr="006603CA" w:rsidRDefault="0081592E" w:rsidP="0081592E">
            <w:pPr>
              <w:ind w:right="-108"/>
              <w:rPr>
                <w:rFonts w:ascii="Arial" w:hAnsi="Arial" w:cs="Arial"/>
                <w:i/>
                <w:sz w:val="24"/>
                <w:szCs w:val="24"/>
              </w:rPr>
            </w:pPr>
            <w:r w:rsidRPr="006603CA">
              <w:rPr>
                <w:rFonts w:ascii="Arial" w:hAnsi="Arial" w:cs="Arial"/>
                <w:sz w:val="24"/>
                <w:szCs w:val="24"/>
              </w:rPr>
              <w:t>1.1</w:t>
            </w:r>
            <w:bookmarkStart w:id="8" w:name="_GoBack"/>
            <w:bookmarkEnd w:id="8"/>
          </w:p>
        </w:tc>
        <w:tc>
          <w:tcPr>
            <w:tcW w:w="7822" w:type="dxa"/>
            <w:gridSpan w:val="5"/>
          </w:tcPr>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i/>
                <w:color w:val="4472C4" w:themeColor="accent1"/>
                <w:sz w:val="24"/>
                <w:szCs w:val="24"/>
              </w:rPr>
            </w:pPr>
            <w:r w:rsidRPr="006603CA">
              <w:rPr>
                <w:rFonts w:ascii="Arial" w:hAnsi="Arial" w:cs="Arial"/>
                <w:sz w:val="24"/>
                <w:szCs w:val="24"/>
              </w:rPr>
              <w:t xml:space="preserve">Se requiere un equipo de desarrollo con conocimiento en </w:t>
            </w:r>
            <w:proofErr w:type="spellStart"/>
            <w:r w:rsidRPr="006603CA">
              <w:rPr>
                <w:rFonts w:ascii="Arial" w:hAnsi="Arial" w:cs="Arial"/>
                <w:sz w:val="24"/>
                <w:szCs w:val="24"/>
              </w:rPr>
              <w:t>GroseryCrud</w:t>
            </w:r>
            <w:proofErr w:type="spellEnd"/>
            <w:r w:rsidRPr="006603CA">
              <w:rPr>
                <w:rFonts w:ascii="Arial" w:hAnsi="Arial" w:cs="Arial"/>
                <w:sz w:val="24"/>
                <w:szCs w:val="24"/>
              </w:rPr>
              <w:t xml:space="preserve">, para desarrollar módulos de área de </w:t>
            </w:r>
            <w:proofErr w:type="spellStart"/>
            <w:r w:rsidRPr="006603CA">
              <w:rPr>
                <w:rFonts w:ascii="Arial" w:hAnsi="Arial" w:cs="Arial"/>
                <w:sz w:val="24"/>
                <w:szCs w:val="24"/>
              </w:rPr>
              <w:t>backend</w:t>
            </w:r>
            <w:proofErr w:type="spellEnd"/>
            <w:r w:rsidRPr="006603CA">
              <w:rPr>
                <w:rFonts w:ascii="Arial" w:hAnsi="Arial" w:cs="Arial"/>
                <w:sz w:val="24"/>
                <w:szCs w:val="24"/>
              </w:rPr>
              <w:t xml:space="preserve"> </w:t>
            </w:r>
          </w:p>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b/>
                <w:i/>
                <w:sz w:val="24"/>
                <w:szCs w:val="24"/>
              </w:rPr>
            </w:pPr>
          </w:p>
        </w:tc>
      </w:tr>
      <w:tr w:rsidR="0081592E" w:rsidRPr="006603CA"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1358" w:type="dxa"/>
            <w:tcBorders>
              <w:left w:val="none" w:sz="0" w:space="0" w:color="auto"/>
            </w:tcBorders>
          </w:tcPr>
          <w:p w:rsidR="0081592E" w:rsidRPr="006603CA" w:rsidRDefault="0081592E" w:rsidP="0081592E">
            <w:pPr>
              <w:ind w:right="-108"/>
              <w:rPr>
                <w:rFonts w:ascii="Arial" w:hAnsi="Arial" w:cs="Arial"/>
                <w:sz w:val="24"/>
                <w:szCs w:val="24"/>
              </w:rPr>
            </w:pPr>
            <w:r w:rsidRPr="006603CA">
              <w:rPr>
                <w:rFonts w:ascii="Arial" w:hAnsi="Arial" w:cs="Arial"/>
                <w:sz w:val="24"/>
                <w:szCs w:val="24"/>
              </w:rPr>
              <w:t>1.1</w:t>
            </w:r>
          </w:p>
        </w:tc>
        <w:tc>
          <w:tcPr>
            <w:tcW w:w="7822" w:type="dxa"/>
            <w:gridSpan w:val="5"/>
          </w:tcPr>
          <w:p w:rsidR="0081592E" w:rsidRPr="006603CA" w:rsidRDefault="0081592E" w:rsidP="008159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03CA">
              <w:rPr>
                <w:rFonts w:ascii="Arial" w:hAnsi="Arial" w:cs="Arial"/>
                <w:sz w:val="24"/>
                <w:szCs w:val="24"/>
              </w:rPr>
              <w:t>Nombre y dirección del Contratante:</w:t>
            </w:r>
            <w:r w:rsidRPr="006603CA">
              <w:rPr>
                <w:rFonts w:ascii="Arial" w:hAnsi="Arial" w:cs="Arial"/>
                <w:color w:val="4472C4" w:themeColor="accent1"/>
                <w:sz w:val="24"/>
                <w:szCs w:val="24"/>
              </w:rPr>
              <w:t xml:space="preserve"> </w:t>
            </w:r>
            <w:r w:rsidR="00716221">
              <w:rPr>
                <w:rFonts w:ascii="Arial" w:hAnsi="Arial" w:cs="Arial"/>
                <w:b/>
                <w:color w:val="000000" w:themeColor="text1"/>
                <w:sz w:val="24"/>
                <w:szCs w:val="24"/>
              </w:rPr>
              <w:t xml:space="preserve">Mueblería Casa Morales </w:t>
            </w:r>
          </w:p>
        </w:tc>
      </w:tr>
      <w:tr w:rsidR="0081592E" w:rsidRPr="006603CA"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1358" w:type="dxa"/>
            <w:tcBorders>
              <w:left w:val="none" w:sz="0" w:space="0" w:color="auto"/>
            </w:tcBorders>
          </w:tcPr>
          <w:p w:rsidR="0081592E" w:rsidRPr="006603CA" w:rsidRDefault="0081592E" w:rsidP="0081592E">
            <w:pPr>
              <w:ind w:right="-108"/>
              <w:rPr>
                <w:rFonts w:ascii="Arial" w:hAnsi="Arial" w:cs="Arial"/>
                <w:sz w:val="24"/>
                <w:szCs w:val="24"/>
              </w:rPr>
            </w:pPr>
            <w:r w:rsidRPr="006603CA">
              <w:rPr>
                <w:rFonts w:ascii="Arial" w:hAnsi="Arial" w:cs="Arial"/>
                <w:sz w:val="24"/>
                <w:szCs w:val="24"/>
              </w:rPr>
              <w:t>1.2</w:t>
            </w:r>
          </w:p>
        </w:tc>
        <w:tc>
          <w:tcPr>
            <w:tcW w:w="7822" w:type="dxa"/>
            <w:gridSpan w:val="5"/>
          </w:tcPr>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Plazo para la terminación del proyecto:</w:t>
            </w:r>
          </w:p>
          <w:p w:rsidR="0081592E" w:rsidRPr="006603CA" w:rsidRDefault="00716221" w:rsidP="0081592E">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02/08/2019</w:t>
            </w:r>
          </w:p>
        </w:tc>
      </w:tr>
      <w:tr w:rsidR="00840F03" w:rsidTr="004845C7">
        <w:trPr>
          <w:gridAfter w:val="2"/>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9108" w:type="dxa"/>
            <w:gridSpan w:val="5"/>
            <w:tcBorders>
              <w:left w:val="none" w:sz="0" w:space="0" w:color="auto"/>
            </w:tcBorders>
          </w:tcPr>
          <w:p w:rsidR="00840F03" w:rsidRDefault="00840F03">
            <w:pPr>
              <w:jc w:val="center"/>
              <w:rPr>
                <w:rFonts w:ascii="Arial" w:hAnsi="Arial" w:cs="Arial"/>
                <w:b w:val="0"/>
              </w:rPr>
            </w:pPr>
          </w:p>
          <w:p w:rsidR="00840F03" w:rsidRDefault="00ED1FA3">
            <w:pPr>
              <w:jc w:val="center"/>
              <w:rPr>
                <w:rFonts w:ascii="Arial" w:hAnsi="Arial" w:cs="Arial"/>
                <w:b w:val="0"/>
              </w:rPr>
            </w:pPr>
            <w:r>
              <w:rPr>
                <w:rFonts w:ascii="Arial" w:hAnsi="Arial" w:cs="Arial"/>
              </w:rPr>
              <w:t>PRECIO Y MONEDA DE LA OFERTA</w:t>
            </w:r>
          </w:p>
        </w:tc>
      </w:tr>
      <w:tr w:rsidR="00840F03" w:rsidTr="004845C7">
        <w:trPr>
          <w:gridAfter w:val="2"/>
          <w:wAfter w:w="101" w:type="dxa"/>
        </w:trPr>
        <w:tc>
          <w:tcPr>
            <w:cnfStyle w:val="001000000000" w:firstRow="0" w:lastRow="0" w:firstColumn="1" w:lastColumn="0" w:oddVBand="0" w:evenVBand="0" w:oddHBand="0" w:evenHBand="0" w:firstRowFirstColumn="0" w:firstRowLastColumn="0" w:lastRowFirstColumn="0" w:lastRowLastColumn="0"/>
            <w:tcW w:w="1368" w:type="dxa"/>
            <w:gridSpan w:val="2"/>
            <w:tcBorders>
              <w:left w:val="none" w:sz="0" w:space="0" w:color="auto"/>
            </w:tcBorders>
          </w:tcPr>
          <w:p w:rsidR="00840F03" w:rsidRDefault="008B2FDB">
            <w:pPr>
              <w:rPr>
                <w:rFonts w:ascii="Arial" w:hAnsi="Arial" w:cs="Arial"/>
                <w:b w:val="0"/>
              </w:rPr>
            </w:pPr>
            <w:r>
              <w:rPr>
                <w:rFonts w:ascii="Arial" w:hAnsi="Arial" w:cs="Arial"/>
              </w:rPr>
              <w:t>7.1</w:t>
            </w:r>
          </w:p>
        </w:tc>
        <w:tc>
          <w:tcPr>
            <w:tcW w:w="7740" w:type="dxa"/>
            <w:gridSpan w:val="3"/>
          </w:tcPr>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[Definir las monedas, con las que estarán trabajando]</w:t>
            </w: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aplica la opción A”</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p w:rsidR="00840F03" w:rsidRDefault="008B2FDB">
            <w:pPr>
              <w:ind w:left="792"/>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Pesos (mexicanos)</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i/>
                <w:sz w:val="16"/>
              </w:rPr>
            </w:pP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lastRenderedPageBreak/>
              <w:t>O BIEN,</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b/>
                <w:sz w:val="16"/>
              </w:rPr>
            </w:pP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aplica la opción B”</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p w:rsidR="00840F03" w:rsidRDefault="008B2FDB">
            <w:pPr>
              <w:ind w:left="792"/>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color w:val="000000" w:themeColor="text1"/>
              </w:rPr>
              <w:t>Dólares (EU)</w:t>
            </w:r>
          </w:p>
        </w:tc>
      </w:tr>
      <w:tr w:rsidR="00840F03" w:rsidTr="004845C7">
        <w:trPr>
          <w:gridAfter w:val="2"/>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368" w:type="dxa"/>
            <w:gridSpan w:val="2"/>
            <w:tcBorders>
              <w:left w:val="none" w:sz="0" w:space="0" w:color="auto"/>
            </w:tcBorders>
          </w:tcPr>
          <w:p w:rsidR="00840F03" w:rsidRDefault="008B2FDB">
            <w:pPr>
              <w:rPr>
                <w:rFonts w:ascii="Arial" w:hAnsi="Arial" w:cs="Arial"/>
                <w:b w:val="0"/>
              </w:rPr>
            </w:pPr>
            <w:r>
              <w:rPr>
                <w:rFonts w:ascii="Arial" w:hAnsi="Arial" w:cs="Arial"/>
              </w:rPr>
              <w:lastRenderedPageBreak/>
              <w:t>7.2 y 7.3</w:t>
            </w:r>
          </w:p>
        </w:tc>
        <w:tc>
          <w:tcPr>
            <w:tcW w:w="7740" w:type="dxa"/>
            <w:gridSpan w:val="3"/>
          </w:tcPr>
          <w:p w:rsidR="00840F03" w:rsidRDefault="008B2FD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r w:rsidR="00ED1FA3" w:rsidTr="004845C7">
        <w:trPr>
          <w:gridAfter w:val="1"/>
          <w:wAfter w:w="29" w:type="dxa"/>
        </w:trPr>
        <w:tc>
          <w:tcPr>
            <w:cnfStyle w:val="001000000000" w:firstRow="0" w:lastRow="0" w:firstColumn="1" w:lastColumn="0" w:oddVBand="0" w:evenVBand="0" w:oddHBand="0" w:evenHBand="0" w:firstRowFirstColumn="0" w:firstRowLastColumn="0" w:lastRowFirstColumn="0" w:lastRowLastColumn="0"/>
            <w:tcW w:w="2134" w:type="dxa"/>
            <w:gridSpan w:val="4"/>
            <w:tcBorders>
              <w:left w:val="none" w:sz="0" w:space="0" w:color="auto"/>
            </w:tcBorders>
          </w:tcPr>
          <w:p w:rsidR="00ED1FA3" w:rsidRDefault="00ED1FA3">
            <w:pPr>
              <w:pStyle w:val="Head22"/>
              <w:rPr>
                <w:rFonts w:ascii="Arial" w:hAnsi="Arial" w:cs="Arial"/>
                <w:lang w:val="es-MX"/>
              </w:rPr>
            </w:pPr>
            <w:bookmarkStart w:id="9" w:name="_Toc437772357"/>
            <w:r>
              <w:rPr>
                <w:rFonts w:ascii="Arial" w:hAnsi="Arial" w:cs="Arial"/>
                <w:lang w:val="es-MX"/>
              </w:rPr>
              <w:t>8.</w:t>
            </w:r>
            <w:r>
              <w:rPr>
                <w:rFonts w:ascii="Arial" w:hAnsi="Arial" w:cs="Arial"/>
                <w:lang w:val="es-MX"/>
              </w:rPr>
              <w:tab/>
              <w:t>Firma del Contrato</w:t>
            </w:r>
            <w:bookmarkEnd w:id="9"/>
          </w:p>
        </w:tc>
        <w:tc>
          <w:tcPr>
            <w:tcW w:w="7046" w:type="dxa"/>
            <w:gridSpan w:val="2"/>
          </w:tcPr>
          <w:p w:rsidR="00ED1FA3" w:rsidRPr="00ED1FA3" w:rsidRDefault="00ED1FA3" w:rsidP="00ED1FA3">
            <w:pPr>
              <w:pStyle w:val="Prrafodelista"/>
              <w:widowControl w:val="0"/>
              <w:numPr>
                <w:ilvl w:val="1"/>
                <w:numId w:val="27"/>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D1FA3">
              <w:rPr>
                <w:rFonts w:ascii="Arial" w:hAnsi="Arial" w:cs="Arial"/>
                <w:bCs/>
              </w:rPr>
              <w:t>El Contratante enviará al adjudicatario, junto con la Carta de aceptación, el Contrato que consta en los documentos de licitación, al que se habrán incorporado todas las disposiciones acordadas por las partes.</w:t>
            </w:r>
          </w:p>
          <w:p w:rsidR="00ED1FA3" w:rsidRPr="00ED1FA3" w:rsidRDefault="00ED1FA3" w:rsidP="00ED1FA3">
            <w:pPr>
              <w:widowControl w:val="0"/>
              <w:tabs>
                <w:tab w:val="left" w:pos="3744"/>
                <w:tab w:val="left" w:pos="4608"/>
              </w:tabs>
              <w:ind w:left="369"/>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D1FA3" w:rsidTr="004845C7">
        <w:trPr>
          <w:gridAfter w:val="1"/>
          <w:cnfStyle w:val="000000100000" w:firstRow="0" w:lastRow="0" w:firstColumn="0" w:lastColumn="0" w:oddVBand="0" w:evenVBand="0" w:oddHBand="1" w:evenHBand="0" w:firstRowFirstColumn="0" w:firstRowLastColumn="0" w:lastRowFirstColumn="0" w:lastRowLastColumn="0"/>
          <w:wAfter w:w="29" w:type="dxa"/>
        </w:trPr>
        <w:tc>
          <w:tcPr>
            <w:cnfStyle w:val="001000000000" w:firstRow="0" w:lastRow="0" w:firstColumn="1" w:lastColumn="0" w:oddVBand="0" w:evenVBand="0" w:oddHBand="0" w:evenHBand="0" w:firstRowFirstColumn="0" w:firstRowLastColumn="0" w:lastRowFirstColumn="0" w:lastRowLastColumn="0"/>
            <w:tcW w:w="2134" w:type="dxa"/>
            <w:gridSpan w:val="4"/>
            <w:tcBorders>
              <w:left w:val="none" w:sz="0" w:space="0" w:color="auto"/>
              <w:bottom w:val="none" w:sz="0" w:space="0" w:color="auto"/>
            </w:tcBorders>
          </w:tcPr>
          <w:p w:rsidR="00ED1FA3" w:rsidRDefault="00ED1FA3">
            <w:pPr>
              <w:pStyle w:val="Head22"/>
              <w:rPr>
                <w:rFonts w:ascii="Arial" w:hAnsi="Arial" w:cs="Arial"/>
                <w:lang w:val="es-MX"/>
              </w:rPr>
            </w:pPr>
          </w:p>
        </w:tc>
        <w:tc>
          <w:tcPr>
            <w:tcW w:w="7046" w:type="dxa"/>
            <w:gridSpan w:val="2"/>
          </w:tcPr>
          <w:p w:rsidR="00ED1FA3" w:rsidRPr="00ED1FA3" w:rsidRDefault="00ED1FA3" w:rsidP="00ED1FA3">
            <w:pPr>
              <w:pStyle w:val="Prrafodelista"/>
              <w:widowControl w:val="0"/>
              <w:numPr>
                <w:ilvl w:val="1"/>
                <w:numId w:val="27"/>
              </w:numPr>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D1FA3">
              <w:rPr>
                <w:rFonts w:ascii="Arial" w:hAnsi="Arial" w:cs="Arial"/>
              </w:rPr>
              <w:t>El adjudicatario firmará el Contrato y lo devolverá al Contratante, junto con la garantía de cumplimiento requerida, dentro de los veintiocho (28) días siguientes a la fecha de haberlo recibido.</w:t>
            </w:r>
          </w:p>
          <w:p w:rsidR="00ED1FA3" w:rsidRDefault="00ED1FA3" w:rsidP="00ED1FA3">
            <w:pPr>
              <w:widowControl w:val="0"/>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D1FA3" w:rsidRDefault="00ED1FA3" w:rsidP="00ED1FA3">
            <w:pPr>
              <w:widowControl w:val="0"/>
              <w:tabs>
                <w:tab w:val="left" w:pos="3744"/>
                <w:tab w:val="left" w:pos="4608"/>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840F03" w:rsidRDefault="00840F03">
      <w:pPr>
        <w:rPr>
          <w:rFonts w:ascii="Arial" w:hAnsi="Arial" w:cs="Arial"/>
        </w:rPr>
      </w:pPr>
    </w:p>
    <w:sectPr w:rsidR="00840F03">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3B" w:rsidRDefault="001B4C3B">
      <w:pPr>
        <w:spacing w:after="0" w:line="240" w:lineRule="auto"/>
      </w:pPr>
      <w:r>
        <w:separator/>
      </w:r>
    </w:p>
  </w:endnote>
  <w:endnote w:type="continuationSeparator" w:id="0">
    <w:p w:rsidR="001B4C3B" w:rsidRDefault="001B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pitch w:val="default"/>
    <w:sig w:usb0="00000000"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3B" w:rsidRDefault="001B4C3B">
      <w:pPr>
        <w:spacing w:after="0" w:line="240" w:lineRule="auto"/>
      </w:pPr>
      <w:r>
        <w:separator/>
      </w:r>
    </w:p>
  </w:footnote>
  <w:footnote w:type="continuationSeparator" w:id="0">
    <w:p w:rsidR="001B4C3B" w:rsidRDefault="001B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F03" w:rsidRDefault="002067C8">
    <w:pPr>
      <w:pStyle w:val="Encabezado"/>
      <w:jc w:val="center"/>
    </w:pPr>
    <w:r w:rsidRPr="00C80764">
      <w:rPr>
        <w:noProof/>
        <w:lang w:eastAsia="es-MX"/>
      </w:rPr>
      <w:drawing>
        <wp:anchor distT="0" distB="0" distL="114300" distR="114300" simplePos="0" relativeHeight="251661312" behindDoc="0" locked="0" layoutInCell="1" allowOverlap="1" wp14:anchorId="4515DFE7" wp14:editId="733B8AA4">
          <wp:simplePos x="0" y="0"/>
          <wp:positionH relativeFrom="column">
            <wp:posOffset>5265530</wp:posOffset>
          </wp:positionH>
          <wp:positionV relativeFrom="paragraph">
            <wp:posOffset>41822</wp:posOffset>
          </wp:positionV>
          <wp:extent cx="942975" cy="670560"/>
          <wp:effectExtent l="0" t="0" r="0" b="0"/>
          <wp:wrapNone/>
          <wp:docPr id="6" name="Imagen 6" descr="Descripción: Descripción: M_C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Descripción: M_CM_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2975"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noProof/>
        <w:lang w:eastAsia="es-MX"/>
      </w:rPr>
      <w:drawing>
        <wp:anchor distT="0" distB="0" distL="114300" distR="114300" simplePos="0" relativeHeight="251659264" behindDoc="0" locked="0" layoutInCell="1" allowOverlap="1" wp14:anchorId="164D40A2" wp14:editId="2CB53EE6">
          <wp:simplePos x="0" y="0"/>
          <wp:positionH relativeFrom="column">
            <wp:posOffset>-93980</wp:posOffset>
          </wp:positionH>
          <wp:positionV relativeFrom="paragraph">
            <wp:posOffset>163085</wp:posOffset>
          </wp:positionV>
          <wp:extent cx="1049655" cy="552450"/>
          <wp:effectExtent l="0" t="0" r="0" b="0"/>
          <wp:wrapNone/>
          <wp:docPr id="7" name="Imagen 7"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49655" cy="552450"/>
                  </a:xfrm>
                  <a:prstGeom prst="rect">
                    <a:avLst/>
                  </a:prstGeom>
                  <a:noFill/>
                  <a:ln>
                    <a:noFill/>
                  </a:ln>
                </pic:spPr>
              </pic:pic>
            </a:graphicData>
          </a:graphic>
        </wp:anchor>
      </w:drawing>
    </w:r>
    <w:r w:rsidR="008B2FDB">
      <w:t xml:space="preserve">                                                           </w:t>
    </w:r>
    <w:r w:rsidR="008B2FDB">
      <w:tab/>
    </w:r>
    <w:r w:rsidR="008B2FDB">
      <w:tab/>
    </w:r>
  </w:p>
  <w:p w:rsidR="002067C8" w:rsidRPr="002067C8" w:rsidRDefault="002067C8" w:rsidP="002067C8">
    <w:pPr>
      <w:jc w:val="center"/>
      <w:rPr>
        <w:rFonts w:ascii="Times New Roman" w:hAnsi="Times New Roman" w:cs="Times New Roman"/>
        <w:b/>
        <w:sz w:val="32"/>
      </w:rPr>
    </w:pPr>
    <w:r w:rsidRPr="002067C8">
      <w:rPr>
        <w:rFonts w:ascii="Times New Roman" w:hAnsi="Times New Roman" w:cs="Times New Roman"/>
        <w:b/>
        <w:sz w:val="32"/>
      </w:rPr>
      <w:t>Mueblería Casa Morales</w:t>
    </w:r>
  </w:p>
  <w:p w:rsidR="00840F03" w:rsidRDefault="00840F03">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40F"/>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E4AE8"/>
    <w:multiLevelType w:val="multilevel"/>
    <w:tmpl w:val="18BE822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3"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4" w15:restartNumberingAfterBreak="0">
    <w:nsid w:val="168C2863"/>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D17D9B"/>
    <w:multiLevelType w:val="hybridMultilevel"/>
    <w:tmpl w:val="E7762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0014FD"/>
    <w:multiLevelType w:val="hybridMultilevel"/>
    <w:tmpl w:val="E738DFD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F146E8C"/>
    <w:multiLevelType w:val="multilevel"/>
    <w:tmpl w:val="6450D5E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BE65FE"/>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757EE7"/>
    <w:multiLevelType w:val="multilevel"/>
    <w:tmpl w:val="18BE822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F12C3C"/>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8C6441"/>
    <w:multiLevelType w:val="hybridMultilevel"/>
    <w:tmpl w:val="D8085C88"/>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14" w15:restartNumberingAfterBreak="0">
    <w:nsid w:val="3C750B28"/>
    <w:multiLevelType w:val="multilevel"/>
    <w:tmpl w:val="18BE822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B692B"/>
    <w:multiLevelType w:val="hybridMultilevel"/>
    <w:tmpl w:val="644C55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EC1657"/>
    <w:multiLevelType w:val="multilevel"/>
    <w:tmpl w:val="0E182E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E7601C"/>
    <w:multiLevelType w:val="multilevel"/>
    <w:tmpl w:val="DFE01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19"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20" w15:restartNumberingAfterBreak="0">
    <w:nsid w:val="5FC960A8"/>
    <w:multiLevelType w:val="multilevel"/>
    <w:tmpl w:val="B6C06F3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300364"/>
    <w:multiLevelType w:val="multilevel"/>
    <w:tmpl w:val="18BE822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23" w15:restartNumberingAfterBreak="0">
    <w:nsid w:val="6C3F0CD2"/>
    <w:multiLevelType w:val="hybridMultilevel"/>
    <w:tmpl w:val="1512AB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787618E7"/>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CF72F2"/>
    <w:multiLevelType w:val="singleLevel"/>
    <w:tmpl w:val="FF70EEC6"/>
    <w:lvl w:ilvl="0">
      <w:start w:val="1"/>
      <w:numFmt w:val="lowerLetter"/>
      <w:lvlText w:val="%1) "/>
      <w:legacy w:legacy="1" w:legacySpace="0" w:legacyIndent="360"/>
      <w:lvlJc w:val="left"/>
      <w:pPr>
        <w:ind w:left="360" w:hanging="360"/>
      </w:pPr>
      <w:rPr>
        <w:rFonts w:ascii="Arial" w:hAnsi="Arial" w:cs="Arial" w:hint="default"/>
        <w:b w:val="0"/>
        <w:i w:val="0"/>
        <w:sz w:val="24"/>
      </w:rPr>
    </w:lvl>
  </w:abstractNum>
  <w:num w:numId="1">
    <w:abstractNumId w:val="7"/>
  </w:num>
  <w:num w:numId="2">
    <w:abstractNumId w:val="19"/>
  </w:num>
  <w:num w:numId="3">
    <w:abstractNumId w:val="13"/>
  </w:num>
  <w:num w:numId="4">
    <w:abstractNumId w:val="25"/>
  </w:num>
  <w:num w:numId="5">
    <w:abstractNumId w:val="3"/>
  </w:num>
  <w:num w:numId="6">
    <w:abstractNumId w:val="2"/>
  </w:num>
  <w:num w:numId="7">
    <w:abstractNumId w:val="18"/>
  </w:num>
  <w:num w:numId="8">
    <w:abstractNumId w:val="18"/>
    <w:lvlOverride w:ilvl="0">
      <w:lvl w:ilvl="0">
        <w:start w:val="2"/>
        <w:numFmt w:val="lowerLetter"/>
        <w:lvlText w:val="%1)"/>
        <w:legacy w:legacy="1" w:legacySpace="0" w:legacyIndent="360"/>
        <w:lvlJc w:val="left"/>
        <w:pPr>
          <w:ind w:left="360" w:hanging="360"/>
        </w:pPr>
      </w:lvl>
    </w:lvlOverride>
  </w:num>
  <w:num w:numId="9">
    <w:abstractNumId w:val="22"/>
  </w:num>
  <w:num w:numId="10">
    <w:abstractNumId w:val="12"/>
  </w:num>
  <w:num w:numId="11">
    <w:abstractNumId w:val="17"/>
  </w:num>
  <w:num w:numId="12">
    <w:abstractNumId w:val="23"/>
  </w:num>
  <w:num w:numId="13">
    <w:abstractNumId w:val="5"/>
  </w:num>
  <w:num w:numId="14">
    <w:abstractNumId w:val="16"/>
  </w:num>
  <w:num w:numId="15">
    <w:abstractNumId w:val="8"/>
  </w:num>
  <w:num w:numId="16">
    <w:abstractNumId w:val="15"/>
  </w:num>
  <w:num w:numId="17">
    <w:abstractNumId w:val="6"/>
  </w:num>
  <w:num w:numId="18">
    <w:abstractNumId w:val="9"/>
  </w:num>
  <w:num w:numId="19">
    <w:abstractNumId w:val="24"/>
  </w:num>
  <w:num w:numId="20">
    <w:abstractNumId w:val="11"/>
  </w:num>
  <w:num w:numId="21">
    <w:abstractNumId w:val="10"/>
  </w:num>
  <w:num w:numId="22">
    <w:abstractNumId w:val="4"/>
  </w:num>
  <w:num w:numId="23">
    <w:abstractNumId w:val="21"/>
  </w:num>
  <w:num w:numId="24">
    <w:abstractNumId w:val="1"/>
  </w:num>
  <w:num w:numId="25">
    <w:abstractNumId w:val="14"/>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1130C4"/>
    <w:rsid w:val="0011758D"/>
    <w:rsid w:val="001B4C3B"/>
    <w:rsid w:val="002067C8"/>
    <w:rsid w:val="00206808"/>
    <w:rsid w:val="0025002E"/>
    <w:rsid w:val="00337FAF"/>
    <w:rsid w:val="00380C26"/>
    <w:rsid w:val="004845C7"/>
    <w:rsid w:val="004B0969"/>
    <w:rsid w:val="004E344E"/>
    <w:rsid w:val="004F6805"/>
    <w:rsid w:val="005131B0"/>
    <w:rsid w:val="00562150"/>
    <w:rsid w:val="005D69A5"/>
    <w:rsid w:val="0061260F"/>
    <w:rsid w:val="006603CA"/>
    <w:rsid w:val="00710255"/>
    <w:rsid w:val="00716221"/>
    <w:rsid w:val="007840B9"/>
    <w:rsid w:val="007C7E3B"/>
    <w:rsid w:val="007D3318"/>
    <w:rsid w:val="0081592E"/>
    <w:rsid w:val="00835457"/>
    <w:rsid w:val="00840F03"/>
    <w:rsid w:val="008603EF"/>
    <w:rsid w:val="0086524F"/>
    <w:rsid w:val="008B2FDB"/>
    <w:rsid w:val="008F23FE"/>
    <w:rsid w:val="009D0E77"/>
    <w:rsid w:val="009D6FBA"/>
    <w:rsid w:val="00A572E2"/>
    <w:rsid w:val="00AC5915"/>
    <w:rsid w:val="00AF0A75"/>
    <w:rsid w:val="00B7577D"/>
    <w:rsid w:val="00BD47C4"/>
    <w:rsid w:val="00D038E3"/>
    <w:rsid w:val="00DC2320"/>
    <w:rsid w:val="00ED1FA3"/>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7936605-0890-4559-953D-6FDF0B7C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table" w:styleId="Tabladecuadrcula5oscura-nfasis6">
    <w:name w:val="Grid Table 5 Dark Accent 6"/>
    <w:basedOn w:val="Tablanormal"/>
    <w:uiPriority w:val="50"/>
    <w:rsid w:val="006603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1clara">
    <w:name w:val="Grid Table 1 Light"/>
    <w:basedOn w:val="Tablanormal"/>
    <w:uiPriority w:val="46"/>
    <w:rsid w:val="007162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Gilberto Sanchez</cp:lastModifiedBy>
  <cp:revision>11</cp:revision>
  <dcterms:created xsi:type="dcterms:W3CDTF">2018-08-16T09:41:00Z</dcterms:created>
  <dcterms:modified xsi:type="dcterms:W3CDTF">2019-08-01T23:00:00Z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