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865/2025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Sara Marini-Silva, Matteo Gallo, Luca Bianchi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Giulia Conti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06-01-2025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07-07-2024.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Sara Carlo Marini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Brescia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09-12-1846</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Sara Carlo Marini -&gt; Sara Marini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4.2. La domanda presentata iure matrimonii è improcedibile.</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La giurisprudenza, infatti, ha ammesso la domanda iure sanguinis in ragione delle note liste d'attesa dinanzi ai Consolati italiani, ma nessuna deroga è stata prevista per la cittadinanza acquisita tramite matrimonio (da chiedere prima in via amministrativa, cfr. Direttiva del Ministero dell'Interno n. 12A04741 del 7.3.12). Inoltre, l'art. 4 co. 5 II periodo del D.Lgs. n. 13/17 (sopra riportato) ha disciplinato la competenza territoriale con esclusivo riguardo al Comune di nascita dell'avo, ossia per la cittadinanza ottenuta in virtù della discendenza. Occorre infine considerare che, fino al passaggio in giudicato di questa sentenza, non può dirsi definitivamente acquisito lo status di cittadino del coniuge, presupposto necessario della domanda per matrimonio.</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Sara Marini-Silva, nata a  il ;Matteo Gallo, nato a Campinas il 02-08-1992;Luca Bianchi, nato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dichiara improcedibile la domanda presentata da Luca Bianchi;</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