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326-2024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Marcos Joao Silva-Mendes-Souza, Juliana Costa, Ana 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Carolina Nunes, Juliana Costa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15-12-2025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06-02-2025.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Camila Luz Ribeiro</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Brescia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02-02-1857</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Camila Luz Ribeiro (alias: Camila Ribeir). Nel ricorso sono dichiarati i seguenti alias/pseudonimi: Camila Ribeiro.
Ai fini della domanda, la linea genealogica allegata puo riassumersi come segue:
Camila Luz Ribeiro -&gt; Ana Mendes -&gt; Marcos Joao Silva-Mendes
Nell’atto si da altresi conto di eventuali posizioni per matrimonio: Ana Souza.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4.2. La domanda presentata iure matrimonii è improcedibile.</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La giurisprudenza, infatti, ha ammesso la domanda iure sanguinis in ragione delle note liste d'attesa dinanzi ai Consolati italiani, ma nessuna deroga è stata prevista per la cittadinanza acquisita tramite matrimonio (da chiedere prima in via amministrativa, cfr. Direttiva del Ministero dell'Interno n. 12A04741 del 7.3.12). Inoltre, l'art. 4 co. 5 II periodo del D.Lgs.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Marcos Joao Silva-Mendes-Souza, nato/a a  il ,</w:t>
            <w:br/>
            <w:t>Juliana Costa, nato/a a  il ,</w:t>
            <w:br/>
            <w:t>Ana Souza,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dichiara improcedibile la domanda presentata da Ana Souza;</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