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413/2025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Marcos Santos-Souza, Camila Ribeiro, Carlos Cardoso</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Ana Almeida, Ana Lima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Carlos Pereira</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29-10-2024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07-11-2025, Carlos Pereira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Maria Aparecida Mendes</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14-02-1848</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Maria Aparecida Mendes -&gt; Patricia Santos -&gt; Beatriz Ribeiro Santos -&gt; Camila Ribeiro -&gt; Marcos Santos</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4.2. La domanda presentata iure matrimonii è improcedibile.</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La giurisprudenza, infatti, ha ammesso la domanda iure sanguinis in ragione delle note liste d'attesa dinanzi ai Consolati italiani, ma nessuna deroga è stata prevista per la cittadinanza acquisita tramite matrimonio (da chiedere prima in via amministrativa, cfr. Direttiva del Ministero dell'Interno n. 12A04741 del 7.3.12). Inoltre, l'art. 4 co. 5 II periodo del D.Lgs. n. 13/17 (sopra riportato) ha disciplinato la competenza territoriale con esclusivo riguardo al Comune di nascita dell'avo, ossia per la cittadinanza ottenuta in virtù della discendenza. Occorre infine considerare che, fino al passaggio in giudicato di questa sentenza, non può dirsi definitivamente acquisito lo status di cittadino del coniuge, presupposto necessario della domanda per matrimonio.</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Marcos Santos-Souza, nato/a a  il ,</w:t>
            <w:br/>
            <w:t>Camila Ribeiro, nato/a a  il ,</w:t>
            <w:br/>
            <w:t>Carlos Cardoso,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Carlos Pereira;</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dichiara improcedibile la domanda presentata da Carlos Cardoso;</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