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png" ContentType="image/png"/>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footer2.xml" ContentType="application/vnd.openxmlformats-officedocument.wordprocessingml.footer+xml"/>
  <Override PartName="/word/webSettings.xml" ContentType="application/vnd.openxmlformats-officedocument.wordprocessingml.webSettings+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02510E" w:rsidR="00DE0831" w:rsidP="00DE0831" w:rsidRDefault="0011602D" w14:paraId="0410148B" w14:textId="35477E9E">
      <w:pPr>
        <w:spacing w:line="256" w:lineRule="auto"/>
        <w:rPr>
          <w:rFonts w:ascii="Garamond" w:hAnsi="Garamond" w:eastAsia="Calibri"/>
          <w:b/>
          <w:bCs/>
        </w:rPr>
      </w:pPr>
      <w:r>
        <w:rPr>
          <w:noProof/>
        </w:rPr>
        <w:drawing>
          <wp:anchor distT="0" distB="0" distL="114300" distR="114300" simplePos="0" relativeHeight="251658240" behindDoc="0" locked="0" layoutInCell="1" allowOverlap="1" wp14:editId="7C3F55E6" wp14:anchorId="38A3EEE2">
            <wp:simplePos x="0" y="0"/>
            <wp:positionH relativeFrom="column">
              <wp:posOffset>2689860</wp:posOffset>
            </wp:positionH>
            <wp:positionV relativeFrom="paragraph">
              <wp:posOffset>79375</wp:posOffset>
            </wp:positionV>
            <wp:extent cx="746125" cy="860425"/>
            <wp:effectExtent l="0" t="0" r="0" b="0"/>
            <wp:wrapNone/>
            <wp:docPr id="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46125" cy="860425"/>
                    </a:xfrm>
                    <a:prstGeom prst="rect">
                      <a:avLst/>
                    </a:prstGeom>
                    <a:noFill/>
                  </pic:spPr>
                </pic:pic>
              </a:graphicData>
            </a:graphic>
            <wp14:sizeRelH relativeFrom="page">
              <wp14:pctWidth>0</wp14:pctWidth>
            </wp14:sizeRelH>
            <wp14:sizeRelV relativeFrom="page">
              <wp14:pctHeight>0</wp14:pctHeight>
            </wp14:sizeRelV>
          </wp:anchor>
        </w:drawing>
      </w:r>
    </w:p>
    <w:p w:rsidR="00DE0831" w:rsidP="00DE0831" w:rsidRDefault="00DE0831" w14:paraId="77F0D410" w14:textId="77777777">
      <w:pPr>
        <w:spacing w:line="256" w:lineRule="auto"/>
        <w:rPr>
          <w:rFonts w:ascii="Garamond" w:hAnsi="Garamond" w:eastAsia="Calibri"/>
          <w:b/>
          <w:bCs/>
        </w:rPr>
      </w:pPr>
    </w:p>
    <w:p w:rsidR="00DE0831" w:rsidP="00DE0831" w:rsidRDefault="00DE0831" w14:paraId="6D045329" w14:textId="77777777">
      <w:pPr>
        <w:spacing w:line="256" w:lineRule="auto"/>
        <w:rPr>
          <w:rFonts w:ascii="Garamond" w:hAnsi="Garamond" w:eastAsia="Calibri"/>
          <w:b/>
          <w:bCs/>
        </w:rPr>
      </w:pPr>
    </w:p>
    <w:p w:rsidRPr="00A55467" w:rsidR="00DE0831" w:rsidP="00DE0831" w:rsidRDefault="00DE0831" w14:paraId="59F734B8" w14:textId="77777777">
      <w:pPr>
        <w:widowControl/>
        <w:pBdr>
          <w:bottom w:val="single" w:color="auto" w:sz="8" w:space="1"/>
        </w:pBdr>
        <w:suppressAutoHyphens w:val="0"/>
        <w:spacing w:line="259" w:lineRule="auto"/>
        <w:rPr>
          <w:rFonts w:ascii="Garamond" w:hAnsi="Garamond" w:eastAsia="Calibri"/>
          <w:i/>
          <w:iCs/>
          <w:spacing w:val="60"/>
          <w:sz w:val="28"/>
          <w:szCs w:val="28"/>
        </w:rPr>
      </w:pPr>
      <w:r w:rsidRPr="00A55467">
        <w:rPr>
          <w:rFonts w:ascii="Garamond" w:hAnsi="Garamond" w:eastAsia="Calibri"/>
          <w:i/>
          <w:iCs/>
          <w:sz w:val="28"/>
          <w:szCs w:val="28"/>
        </w:rPr>
        <w:t xml:space="preserve">                                  </w:t>
      </w:r>
      <w:r w:rsidRPr="00A55467">
        <w:rPr>
          <w:rFonts w:ascii="Garamond" w:hAnsi="Garamond" w:eastAsia="Calibri"/>
          <w:i/>
          <w:iCs/>
          <w:spacing w:val="60"/>
          <w:sz w:val="28"/>
          <w:szCs w:val="28"/>
        </w:rPr>
        <w:t>Repubblica</w:t>
      </w:r>
      <w:r>
        <w:rPr>
          <w:rFonts w:ascii="Garamond" w:hAnsi="Garamond" w:eastAsia="Calibri"/>
          <w:i/>
          <w:iCs/>
          <w:spacing w:val="60"/>
          <w:sz w:val="28"/>
          <w:szCs w:val="28"/>
        </w:rPr>
        <w:t xml:space="preserve">   </w:t>
      </w:r>
      <w:r w:rsidRPr="00985C08">
        <w:rPr>
          <w:rFonts w:ascii="Garamond" w:hAnsi="Garamond" w:eastAsia="Calibri"/>
          <w:i/>
          <w:iCs/>
          <w:sz w:val="28"/>
          <w:szCs w:val="28"/>
        </w:rPr>
        <w:t xml:space="preserve">                   </w:t>
      </w:r>
      <w:r w:rsidRPr="00A55467">
        <w:rPr>
          <w:rFonts w:ascii="Garamond" w:hAnsi="Garamond" w:eastAsia="Calibri"/>
          <w:i/>
          <w:iCs/>
          <w:spacing w:val="60"/>
          <w:sz w:val="28"/>
          <w:szCs w:val="28"/>
        </w:rPr>
        <w:t>Italiana</w:t>
      </w:r>
    </w:p>
    <w:p w:rsidRPr="0002510E" w:rsidR="00DE0831" w:rsidP="00DE0831" w:rsidRDefault="00DE0831" w14:paraId="7BAE552D" w14:textId="77777777">
      <w:pPr>
        <w:spacing w:after="80" w:line="256" w:lineRule="auto"/>
        <w:jc w:val="center"/>
        <w:rPr>
          <w:rFonts w:ascii="Garamond" w:hAnsi="Garamond" w:eastAsia="Calibri"/>
          <w:b/>
          <w:bCs/>
          <w:smallCaps/>
          <w:sz w:val="28"/>
          <w:szCs w:val="28"/>
        </w:rPr>
      </w:pPr>
      <w:r w:rsidRPr="0002510E">
        <w:rPr>
          <w:rFonts w:ascii="Garamond" w:hAnsi="Garamond" w:eastAsia="Calibri"/>
          <w:b/>
          <w:bCs/>
          <w:smallCaps/>
          <w:sz w:val="28"/>
          <w:szCs w:val="28"/>
        </w:rPr>
        <w:br/>
        <w:t>Tribunale Ordinario di Brescia</w:t>
      </w:r>
    </w:p>
    <w:p w:rsidR="00DE0831" w:rsidP="00DE0831" w:rsidRDefault="00DE0831" w14:paraId="6A06937C" w14:textId="77777777">
      <w:pPr>
        <w:spacing w:line="256" w:lineRule="auto"/>
        <w:jc w:val="center"/>
        <w:rPr>
          <w:rFonts w:ascii="Garamond" w:hAnsi="Garamond" w:eastAsia="Calibri"/>
          <w:i/>
          <w:iCs/>
          <w:sz w:val="28"/>
          <w:szCs w:val="28"/>
        </w:rPr>
      </w:pPr>
      <w:r>
        <w:rPr>
          <w:rFonts w:ascii="Garamond" w:hAnsi="Garamond" w:eastAsia="Calibri"/>
          <w:i/>
          <w:iCs/>
          <w:sz w:val="28"/>
          <w:szCs w:val="28"/>
        </w:rPr>
        <w:t>Terza Sezione Civile</w:t>
      </w:r>
    </w:p>
    <w:p w:rsidRPr="00205F3E" w:rsidR="00DE0831" w:rsidP="00DE0831" w:rsidRDefault="00DE0831" w14:paraId="1954EADE" w14:textId="77777777">
      <w:pPr>
        <w:spacing w:before="240" w:line="256" w:lineRule="auto"/>
        <w:jc w:val="center"/>
        <w:rPr>
          <w:rFonts w:ascii="Garamond" w:hAnsi="Garamond" w:eastAsia="Calibri"/>
          <w:smallCaps/>
          <w:spacing w:val="80"/>
          <w:sz w:val="28"/>
          <w:szCs w:val="28"/>
        </w:rPr>
      </w:pPr>
      <w:r w:rsidRPr="00205F3E">
        <w:rPr>
          <w:rFonts w:ascii="Garamond" w:hAnsi="Garamond" w:eastAsia="Calibri"/>
          <w:smallCaps/>
          <w:spacing w:val="80"/>
          <w:sz w:val="28"/>
          <w:szCs w:val="28"/>
        </w:rPr>
        <w:t>in nome del popolo italiano</w:t>
      </w:r>
    </w:p>
    <w:p w:rsidRPr="0002510E" w:rsidR="00DE0831" w:rsidP="00DE0831" w:rsidRDefault="00DE0831" w14:paraId="69C312EC" w14:textId="77777777">
      <w:pPr>
        <w:spacing w:before="240" w:after="120" w:line="276" w:lineRule="auto"/>
        <w:jc w:val="center"/>
        <w:rPr>
          <w:rFonts w:ascii="Garamond" w:hAnsi="Garamond" w:eastAsia="Calibri"/>
          <w:bCs/>
          <w:sz w:val="28"/>
          <w:szCs w:val="28"/>
        </w:rPr>
      </w:pPr>
      <w:r w:rsidRPr="0002510E">
        <w:rPr>
          <w:rFonts w:ascii="Wingdings 2" w:hAnsi="Wingdings 2" w:eastAsia="Calibri"/>
          <w:bCs/>
          <w:spacing w:val="-20"/>
          <w:lang w:eastAsia="zh-CN"/>
        </w:rPr>
        <w:t>ééé</w:t>
      </w:r>
    </w:p>
    <w:p w:rsidRPr="0002510E" w:rsidR="00DE0831" w:rsidP="00DE0831" w:rsidRDefault="00DE0831" w14:paraId="7BB9E47D" w14:textId="4A0D16C1">
      <w:pPr>
        <w:spacing w:after="120" w:line="276" w:lineRule="auto"/>
        <w:jc w:val="both"/>
        <w:rPr>
          <w:rFonts w:ascii="Garamond" w:hAnsi="Garamond"/>
          <w:bCs/>
        </w:rPr>
      </w:pPr>
      <w:r w:rsidRPr="0002510E">
        <w:rPr>
          <w:rFonts w:ascii="Garamond" w:hAnsi="Garamond"/>
          <w:bCs/>
        </w:rPr>
        <w:t>Il Tribunale in composizione monocratica</w:t>
      </w:r>
      <w:r>
        <w:rPr>
          <w:rFonts w:ascii="Garamond" w:hAnsi="Garamond"/>
          <w:bCs/>
        </w:rPr>
        <w:t>,</w:t>
      </w:r>
    </w:p>
    <w:p w:rsidRPr="007353D7" w:rsidR="00DE0831" w:rsidP="00DE0831" w:rsidRDefault="00DE0831" w14:paraId="257F79CF" w14:textId="0CAB11F1">
      <w:pPr>
        <w:spacing w:after="120" w:line="276" w:lineRule="auto"/>
        <w:jc w:val="both"/>
        <w:rPr>
          <w:rFonts w:ascii="Garamond" w:hAnsi="Garamond"/>
          <w:bCs/>
          <w:lang w:val="en-US"/>
        </w:rPr>
      </w:pPr>
      <w:r w:rsidRPr="0002510E">
        <w:rPr>
          <w:rFonts w:ascii="Garamond" w:hAnsi="Garamond"/>
          <w:bCs/>
        </w:rPr>
        <w:t xml:space="preserve">nel procedimento iscritto al </w:t>
      </w:r>
      <w:proofErr w:type="spellStart"/>
      <w:r w:rsidRPr="0002510E">
        <w:rPr>
          <w:rFonts w:ascii="Garamond" w:hAnsi="Garamond"/>
          <w:b/>
        </w:rPr>
        <w:t>n.r.g</w:t>
      </w:r>
      <w:proofErr w:type="spellEnd"/>
      <w:r w:rsidRPr="0002510E">
        <w:rPr>
          <w:rFonts w:ascii="Garamond" w:hAnsi="Garamond"/>
          <w:b/>
        </w:rPr>
        <w:t xml:space="preserve">. </w:t>
      </w:r>
      <w:sdt>
        <w:sdtPr>
          <w:rPr>
            <w:rFonts w:ascii="Garamond" w:hAnsi="Garamond"/>
            <w:b/>
          </w:rPr>
          <w:alias w:val="numero_anno_ruolo"/>
          <w:tag w:val="numero_anno_ruolo"/>
          <w:id w:val="-1842069626"/>
          <w:placeholder>
            <w:docPart w:val="DefaultPlaceholder_-1854013440"/>
          </w:placeholder>
          <w:showingPlcHdr/>
          <w:text/>
        </w:sdtPr>
        <w:sdtContent>
          <w:r w:rsidRPr="007353D7" w:rsidR="007353D7">
            <w:rPr>
              <w:rStyle w:val="PlaceholderText"/>
              <w:lang w:val="en-US"/>
            </w:rPr>
            <w:t>933/2024</w:t>
          </w:r>
        </w:sdtContent>
      </w:sdt>
      <w:r w:rsidRPr="007353D7">
        <w:rPr>
          <w:rFonts w:ascii="Garamond" w:hAnsi="Garamond"/>
          <w:bCs/>
          <w:lang w:val="en-US"/>
        </w:rPr>
        <w:t xml:space="preserve">, </w:t>
      </w:r>
      <w:proofErr w:type="spellStart"/>
      <w:r w:rsidRPr="007353D7">
        <w:rPr>
          <w:rFonts w:ascii="Garamond" w:hAnsi="Garamond"/>
          <w:bCs/>
          <w:lang w:val="en-US"/>
        </w:rPr>
        <w:t>promosso</w:t>
      </w:r>
      <w:proofErr w:type="spellEnd"/>
      <w:r w:rsidRPr="007353D7">
        <w:rPr>
          <w:rFonts w:ascii="Garamond" w:hAnsi="Garamond"/>
          <w:bCs/>
          <w:lang w:val="en-US"/>
        </w:rPr>
        <w:t xml:space="preserve"> da:</w:t>
      </w:r>
    </w:p>
    <w:p w:rsidR="000276C7" w:rsidP="000276C7" w:rsidRDefault="007353D7" w14:paraId="6DDABEC1" w14:textId="79E3D11B">
      <w:pPr>
        <w:spacing w:line="276" w:lineRule="auto"/>
        <w:ind w:left="567" w:right="567"/>
        <w:jc w:val="both"/>
        <w:rPr>
          <w:rFonts w:ascii="Garamond" w:hAnsi="Garamond"/>
          <w:bCs/>
        </w:rPr>
      </w:pPr>
      <w:sdt>
        <w:sdtPr>
          <w:rPr>
            <w:rFonts w:ascii="Garamond" w:hAnsi="Garamond"/>
            <w:b/>
          </w:rPr>
          <w:alias w:val="ricorrenti"/>
          <w:tag w:val="ricorrenti"/>
          <w:id w:val="-1254360210"/>
          <w:placeholder>
            <w:docPart w:val="DefaultPlaceholder_-1854013440"/>
          </w:placeholder>
          <w:showingPlcHdr/>
          <w:text/>
        </w:sdtPr>
        <w:sdtContent>
          <w:r w:rsidRPr="007353D7">
            <w:rPr>
              <w:rStyle w:val="PlaceholderText"/>
              <w:lang w:val="en-US"/>
            </w:rPr>
            <w:t>Mateus Mendes-Souza</w:t>
          </w:r>
        </w:sdtContent>
      </w:sdt>
    </w:p>
    <w:p w:rsidRPr="007353D7" w:rsidR="00DE0831" w:rsidP="000276C7" w:rsidRDefault="00DE0831" w14:paraId="511BD9F6" w14:textId="686CDF3F">
      <w:pPr>
        <w:spacing w:line="276" w:lineRule="auto"/>
        <w:ind w:left="567" w:right="567"/>
        <w:jc w:val="both"/>
        <w:rPr>
          <w:rFonts w:ascii="Garamond" w:hAnsi="Garamond"/>
          <w:bCs/>
          <w:lang w:val="en-US"/>
        </w:rPr>
      </w:pPr>
      <w:r w:rsidRPr="0002510E">
        <w:rPr>
          <w:rFonts w:ascii="Garamond" w:hAnsi="Garamond"/>
          <w:bCs/>
        </w:rPr>
        <w:t xml:space="preserve">con il patrocinio dell’Avv. </w:t>
      </w:r>
      <w:sdt>
        <w:sdtPr>
          <w:rPr>
            <w:rFonts w:ascii="Garamond" w:hAnsi="Garamond"/>
            <w:bCs/>
          </w:rPr>
          <w:alias w:val="avvocati"/>
          <w:tag w:val="avvocati"/>
          <w:id w:val="2056884258"/>
          <w:placeholder>
            <w:docPart w:val="DefaultPlaceholder_-1854013440"/>
          </w:placeholder>
          <w:showingPlcHdr/>
          <w:text/>
        </w:sdtPr>
        <w:sdtContent>
          <w:r w:rsidRPr="007353D7" w:rsidR="007353D7">
            <w:rPr>
              <w:rStyle w:val="PlaceholderText"/>
              <w:lang w:val="en-US"/>
            </w:rPr>
            <w:t>Renata Nunes, Diego Costa</w:t>
          </w:r>
        </w:sdtContent>
      </w:sdt>
      <w:r w:rsidRPr="007353D7">
        <w:rPr>
          <w:rFonts w:ascii="Garamond" w:hAnsi="Garamond"/>
          <w:bCs/>
          <w:lang w:val="en-US"/>
        </w:rPr>
        <w:t xml:space="preserve"> </w:t>
      </w:r>
    </w:p>
    <w:p w:rsidRPr="0002510E" w:rsidR="00DE0831" w:rsidP="00DE0831" w:rsidRDefault="00DE0831" w14:paraId="348586AA" w14:textId="77777777">
      <w:pPr>
        <w:spacing w:line="276" w:lineRule="auto"/>
        <w:ind w:left="567" w:right="567"/>
        <w:jc w:val="right"/>
        <w:rPr>
          <w:rFonts w:ascii="Garamond" w:hAnsi="Garamond"/>
          <w:bCs/>
          <w:i/>
          <w:iCs/>
        </w:rPr>
      </w:pPr>
      <w:r w:rsidRPr="0002510E">
        <w:rPr>
          <w:rFonts w:ascii="Garamond" w:hAnsi="Garamond"/>
          <w:bCs/>
          <w:i/>
          <w:iCs/>
        </w:rPr>
        <w:t>RICORRENTI</w:t>
      </w:r>
    </w:p>
    <w:p w:rsidRPr="0002510E" w:rsidR="00DE0831" w:rsidP="00DE0831" w:rsidRDefault="00DE0831" w14:paraId="018BE880" w14:textId="77777777">
      <w:pPr>
        <w:spacing w:after="120" w:line="276" w:lineRule="auto"/>
        <w:ind w:left="567" w:right="567"/>
        <w:jc w:val="center"/>
        <w:rPr>
          <w:rFonts w:ascii="Garamond" w:hAnsi="Garamond"/>
          <w:bCs/>
        </w:rPr>
      </w:pPr>
      <w:r w:rsidRPr="0002510E">
        <w:rPr>
          <w:rFonts w:ascii="Garamond" w:hAnsi="Garamond"/>
          <w:bCs/>
          <w:i/>
          <w:iCs/>
        </w:rPr>
        <w:t>contro</w:t>
      </w:r>
    </w:p>
    <w:p w:rsidRPr="0002510E" w:rsidR="00DE0831" w:rsidP="00DE0831" w:rsidRDefault="008C396D" w14:paraId="6F632793" w14:textId="4B142C08">
      <w:pPr>
        <w:spacing w:line="276" w:lineRule="auto"/>
        <w:ind w:left="567" w:right="567"/>
        <w:jc w:val="both"/>
        <w:rPr>
          <w:rFonts w:ascii="Garamond" w:hAnsi="Garamond"/>
          <w:b/>
        </w:rPr>
      </w:pPr>
      <w:r>
        <w:rPr>
          <w:rFonts w:ascii="Garamond" w:hAnsi="Garamond"/>
          <w:b/>
        </w:rPr>
        <w:t>MINISTERO DELL’INTERNO</w:t>
      </w:r>
    </w:p>
    <w:p w:rsidRPr="0002510E" w:rsidR="00DE0831" w:rsidP="00DE0831" w:rsidRDefault="00DE0831" w14:paraId="49F231A2" w14:textId="77777777">
      <w:pPr>
        <w:spacing w:line="276" w:lineRule="auto"/>
        <w:ind w:left="567" w:right="567"/>
        <w:jc w:val="both"/>
        <w:rPr>
          <w:rFonts w:ascii="Garamond" w:hAnsi="Garamond"/>
          <w:bCs/>
        </w:rPr>
      </w:pPr>
      <w:r w:rsidRPr="0002510E">
        <w:rPr>
          <w:rFonts w:ascii="Garamond" w:hAnsi="Garamond"/>
          <w:bCs/>
        </w:rPr>
        <w:t xml:space="preserve">con il patrocinio dell’Avvocatura Distrettuale dello Stato di Brescia </w:t>
      </w:r>
    </w:p>
    <w:p w:rsidR="00DE0831" w:rsidP="00DE0831" w:rsidRDefault="00DE0831" w14:paraId="6B66E333" w14:textId="77777777">
      <w:pPr>
        <w:spacing w:after="120" w:line="276" w:lineRule="auto"/>
        <w:ind w:left="567" w:right="567"/>
        <w:jc w:val="right"/>
        <w:rPr>
          <w:rFonts w:ascii="Garamond" w:hAnsi="Garamond"/>
          <w:bCs/>
          <w:i/>
          <w:iCs/>
        </w:rPr>
      </w:pPr>
      <w:r w:rsidRPr="0002510E">
        <w:rPr>
          <w:rFonts w:ascii="Garamond" w:hAnsi="Garamond"/>
          <w:bCs/>
          <w:i/>
          <w:iCs/>
        </w:rPr>
        <w:t>RESISTENTE</w:t>
      </w:r>
    </w:p>
    <w:sdt>
      <w:sdtPr>
        <w:rPr>
          <w:rFonts w:ascii="Garamond" w:hAnsi="Garamond"/>
          <w:b/>
        </w:rPr>
        <w:alias w:val="nominativi_intervenuti"/>
        <w:tag w:val="nominativi_intervenuti"/>
        <w:id w:val="1929776089"/>
        <w:placeholder>
          <w:docPart w:val="DefaultPlaceholder_-1854013440"/>
        </w:placeholder>
        <w:showingPlcHdr/>
        <w:text/>
      </w:sdtPr>
      <w:sdtContent>
        <w:p w:rsidRPr="007353D7" w:rsidR="00DE0831" w:rsidP="00DE0831" w:rsidRDefault="007353D7" w14:paraId="65270314" w14:textId="0AC1C7FE">
          <w:pPr>
            <w:spacing w:line="276" w:lineRule="auto"/>
            <w:ind w:left="567" w:right="567"/>
            <w:rPr>
              <w:rFonts w:ascii="Garamond" w:hAnsi="Garamond"/>
              <w:b/>
              <w:lang w:val="en-US"/>
            </w:rPr>
          </w:pPr>
          <w:r w:rsidRPr="007353D7">
            <w:rPr>
              <w:rStyle w:val="PlaceholderText"/>
              <w:lang w:val="en-US"/>
            </w:rPr>
            <w:t>Renata Araujo, Pedro Lima</w:t>
          </w:r>
        </w:p>
      </w:sdtContent>
    </w:sdt>
    <w:sdt>
      <w:sdtPr>
        <w:rPr>
          <w:rFonts w:ascii="Garamond" w:hAnsi="Garamond"/>
          <w:bCs/>
        </w:rPr>
        <w:alias w:val="intervenuti_avvocati"/>
        <w:tag w:val="intervenuti_avvocati"/>
        <w:id w:val="-688919470"/>
        <w:placeholder>
          <w:docPart w:val="DefaultPlaceholder_-1854013440"/>
        </w:placeholder>
        <w:showingPlcHdr/>
        <w:text/>
      </w:sdtPr>
      <w:sdtContent>
        <w:p w:rsidRPr="007353D7" w:rsidR="00DE0831" w:rsidP="00DE0831" w:rsidRDefault="007353D7" w14:paraId="24ADF14E" w14:textId="6C6FD64A">
          <w:pPr>
            <w:spacing w:line="276" w:lineRule="auto"/>
            <w:ind w:left="567" w:right="567"/>
            <w:rPr>
              <w:rFonts w:ascii="Garamond" w:hAnsi="Garamond"/>
              <w:bCs/>
              <w:lang w:val="en-US"/>
            </w:rPr>
          </w:pPr>
          <w:r w:rsidRPr="007353D7">
            <w:rPr>
              <w:rStyle w:val="PlaceholderText"/>
              <w:lang w:val="en-US"/>
            </w:rPr>
            <w:t>con il patrocinio dell'Avv.</w:t>
          </w:r>
        </w:p>
      </w:sdtContent>
    </w:sdt>
    <w:p w:rsidRPr="007353D7" w:rsidR="00DE0831" w:rsidP="00DE0831" w:rsidRDefault="00DE0831" w14:paraId="400F0B69" w14:textId="77777777">
      <w:pPr>
        <w:spacing w:line="276" w:lineRule="auto"/>
        <w:ind w:left="567" w:right="567"/>
        <w:rPr>
          <w:rFonts w:ascii="Garamond" w:hAnsi="Garamond"/>
          <w:b/>
          <w:lang w:val="en-US"/>
        </w:rPr>
      </w:pPr>
      <w:r w:rsidRPr="007353D7">
        <w:rPr>
          <w:rFonts w:ascii="Garamond" w:hAnsi="Garamond"/>
          <w:b/>
          <w:lang w:val="en-US"/>
        </w:rPr>
        <w:t>PUBBLICO MINISTERO</w:t>
      </w:r>
    </w:p>
    <w:p w:rsidRPr="0002510E" w:rsidR="00DE0831" w:rsidP="00DE0831" w:rsidRDefault="00DE0831" w14:paraId="1C359F53" w14:textId="77777777">
      <w:pPr>
        <w:spacing w:after="120" w:line="276" w:lineRule="auto"/>
        <w:ind w:left="567" w:right="567"/>
        <w:jc w:val="right"/>
        <w:rPr>
          <w:rFonts w:ascii="Garamond" w:hAnsi="Garamond"/>
          <w:bCs/>
          <w:i/>
          <w:iCs/>
        </w:rPr>
      </w:pPr>
      <w:r>
        <w:rPr>
          <w:rFonts w:ascii="Garamond" w:hAnsi="Garamond"/>
          <w:bCs/>
          <w:i/>
          <w:iCs/>
        </w:rPr>
        <w:t>INTERVENUTO</w:t>
      </w:r>
    </w:p>
    <w:p w:rsidRPr="0002510E" w:rsidR="00DE0831" w:rsidP="00DE0831" w:rsidRDefault="00DE0831" w14:paraId="502E075F" w14:textId="77777777">
      <w:pPr>
        <w:spacing w:after="240" w:line="276" w:lineRule="auto"/>
        <w:jc w:val="both"/>
        <w:rPr>
          <w:rFonts w:ascii="Garamond" w:hAnsi="Garamond"/>
          <w:bCs/>
        </w:rPr>
      </w:pPr>
      <w:r w:rsidRPr="0002510E">
        <w:rPr>
          <w:rFonts w:ascii="Garamond" w:hAnsi="Garamond"/>
          <w:bCs/>
        </w:rPr>
        <w:t>ha pronunciato la seguente</w:t>
      </w:r>
      <w:r>
        <w:rPr>
          <w:rFonts w:ascii="Garamond" w:hAnsi="Garamond"/>
          <w:bCs/>
        </w:rPr>
        <w:t>:</w:t>
      </w:r>
    </w:p>
    <w:p w:rsidRPr="0002510E" w:rsidR="00DE0831" w:rsidP="00DE0831" w:rsidRDefault="00DE0831" w14:paraId="10DDA7A6" w14:textId="77777777">
      <w:pPr>
        <w:pBdr>
          <w:top w:val="single" w:color="auto" w:sz="4" w:space="1"/>
          <w:left w:val="single" w:color="auto" w:sz="4" w:space="4"/>
          <w:bottom w:val="single" w:color="auto" w:sz="4" w:space="1"/>
          <w:right w:val="single" w:color="auto" w:sz="4" w:space="4"/>
          <w:between w:val="single" w:color="auto" w:sz="4" w:space="1"/>
        </w:pBdr>
        <w:spacing w:after="240" w:line="276" w:lineRule="auto"/>
        <w:ind w:left="567" w:right="567"/>
        <w:jc w:val="center"/>
        <w:rPr>
          <w:rFonts w:ascii="Garamond" w:hAnsi="Garamond"/>
          <w:b/>
        </w:rPr>
      </w:pPr>
      <w:r w:rsidRPr="00205F3E">
        <w:rPr>
          <w:rFonts w:ascii="Garamond" w:hAnsi="Garamond"/>
          <w:b/>
          <w:spacing w:val="80"/>
          <w:sz w:val="28"/>
          <w:szCs w:val="28"/>
        </w:rPr>
        <w:t>SENTENZA</w:t>
      </w:r>
      <w:r w:rsidRPr="00205F3E">
        <w:rPr>
          <w:rFonts w:ascii="Garamond" w:hAnsi="Garamond"/>
          <w:b/>
          <w:spacing w:val="80"/>
          <w:sz w:val="28"/>
          <w:szCs w:val="28"/>
        </w:rPr>
        <w:br/>
      </w:r>
      <w:r w:rsidRPr="00205F3E">
        <w:rPr>
          <w:rFonts w:ascii="Garamond" w:hAnsi="Garamond"/>
          <w:b/>
        </w:rPr>
        <w:t>( ai sensi dell’art. 281-</w:t>
      </w:r>
      <w:r w:rsidRPr="00205F3E">
        <w:rPr>
          <w:rFonts w:ascii="Garamond" w:hAnsi="Garamond"/>
          <w:b/>
          <w:i/>
          <w:iCs/>
        </w:rPr>
        <w:t>terdecies</w:t>
      </w:r>
      <w:r w:rsidRPr="00205F3E">
        <w:rPr>
          <w:rFonts w:ascii="Garamond" w:hAnsi="Garamond"/>
          <w:b/>
        </w:rPr>
        <w:t xml:space="preserve"> c.p.c. )</w:t>
      </w:r>
    </w:p>
    <w:p w:rsidRPr="00F70C88" w:rsidR="000819AD" w:rsidP="000819AD" w:rsidRDefault="000819AD" w14:paraId="5E45E2E1" w14:textId="1C5EBF25">
      <w:pPr>
        <w:spacing w:after="120" w:line="276" w:lineRule="auto"/>
        <w:jc w:val="both"/>
        <w:rPr>
          <w:rFonts w:ascii="Garamond" w:hAnsi="Garamond"/>
          <w:bCs/>
        </w:rPr>
      </w:pPr>
      <w:r>
        <w:rPr>
          <w:rFonts w:ascii="Garamond" w:hAnsi="Garamond"/>
          <w:b/>
        </w:rPr>
        <w:t xml:space="preserve">1. </w:t>
      </w:r>
      <w:r>
        <w:rPr>
          <w:rFonts w:ascii="Garamond" w:hAnsi="Garamond"/>
          <w:bCs/>
        </w:rPr>
        <w:t xml:space="preserve">1.1. </w:t>
      </w:r>
      <w:r w:rsidRPr="0002510E">
        <w:rPr>
          <w:rFonts w:ascii="Garamond" w:hAnsi="Garamond"/>
          <w:bCs/>
        </w:rPr>
        <w:t xml:space="preserve">Con atto depositato il </w:t>
      </w:r>
      <w:sdt>
        <w:sdtPr>
          <w:rPr>
            <w:rFonts w:ascii="Garamond" w:hAnsi="Garamond"/>
            <w:bCs/>
          </w:rPr>
          <w:alias w:val="iscrizione_ruolo"/>
          <w:tag w:val="iscrizione_ruolo"/>
          <w:id w:val="1903330036"/>
          <w:placeholder>
            <w:docPart w:val="DefaultPlaceholder_-1854013440"/>
          </w:placeholder>
          <w:showingPlcHdr/>
          <w:text/>
        </w:sdtPr>
        <w:sdtContent>
          <w:r w:rsidRPr="00746AEA" w:rsidR="00D4466B">
            <w:rPr>
              <w:rStyle w:val="PlaceholderText"/>
            </w:rPr>
            <w:t>30-07-2024</w:t>
          </w:r>
        </w:sdtContent>
      </w:sdt>
      <w:r w:rsidRPr="0002510E">
        <w:rPr>
          <w:rFonts w:ascii="Garamond" w:hAnsi="Garamond"/>
          <w:bCs/>
        </w:rPr>
        <w:t xml:space="preserve">, i ricorrenti hanno chiesto l’accertamento della cittadinanza italiana </w:t>
      </w:r>
      <w:r w:rsidRPr="0002510E">
        <w:rPr>
          <w:rFonts w:ascii="Garamond" w:hAnsi="Garamond"/>
          <w:bCs/>
          <w:i/>
          <w:iCs/>
        </w:rPr>
        <w:t>iure sanguinis</w:t>
      </w:r>
      <w:r w:rsidR="00B819D9">
        <w:rPr>
          <w:rFonts w:ascii="Garamond" w:hAnsi="Garamond"/>
          <w:bCs/>
        </w:rPr>
        <w:t>; hanno inoltre insistito nella domanda con le note scritte in sostituzione dell’udienza di discussione.</w:t>
      </w:r>
    </w:p>
    <w:sdt>
      <w:sdtPr>
        <w:rPr>
          <w:rFonts w:ascii="Garamond" w:hAnsi="Garamond"/>
          <w:bCs/>
          <w:i/>
          <w:iCs/>
        </w:rPr>
        <w:alias w:val="intervenuti"/>
        <w:tag w:val="intervenuti"/>
        <w:id w:val="183100372"/>
        <w:placeholder>
          <w:docPart w:val="DefaultPlaceholder_-1854013440"/>
        </w:placeholder>
        <w:showingPlcHdr/>
        <w:text/>
      </w:sdtPr>
      <w:sdtContent>
        <w:p w:rsidRPr="00D4466B" w:rsidR="000819AD" w:rsidP="000819AD" w:rsidRDefault="00D4466B" w14:paraId="3A1DC56E" w14:textId="78DEDE85">
          <w:pPr>
            <w:spacing w:after="120" w:line="276" w:lineRule="auto"/>
            <w:jc w:val="both"/>
            <w:rPr>
              <w:rFonts w:ascii="Garamond" w:hAnsi="Garamond"/>
              <w:bCs/>
              <w:lang w:val="en-US"/>
            </w:rPr>
          </w:pPr>
          <w:r w:rsidRPr="00D4466B">
            <w:rPr>
              <w:rStyle w:val="PlaceholderText"/>
              <w:lang w:val="en-US"/>
            </w:rPr>
            <w:t>1.1.1. In data 14-03-2025, Renata Araujo è intervenuto volontariamente in giudizio, in qualità di discendente dal medesimo avo.[ 1.1.1. In data 22-05-2024, Pedro Lima è intervenuto volontariamente in giudizio, in qualità di discendente dal medesimo avo.[</w:t>
          </w:r>
        </w:p>
      </w:sdtContent>
    </w:sdt>
    <w:p w:rsidRPr="00D4466B" w:rsidR="002F6CCC" w:rsidP="000819AD" w:rsidRDefault="000819AD" w14:paraId="2493D549" w14:textId="36057BE1">
      <w:pPr>
        <w:spacing w:after="120" w:line="276" w:lineRule="auto"/>
        <w:jc w:val="both"/>
        <w:rPr>
          <w:rFonts w:ascii="Garamond" w:hAnsi="Garamond"/>
          <w:bCs/>
          <w:lang w:val="en-US"/>
        </w:rPr>
      </w:pPr>
      <w:r w:rsidRPr="0002510E">
        <w:rPr>
          <w:rFonts w:ascii="Garamond" w:hAnsi="Garamond"/>
          <w:bCs/>
        </w:rPr>
        <w:t xml:space="preserve">1.2. </w:t>
      </w:r>
      <w:sdt>
        <w:sdtPr>
          <w:rPr>
            <w:rFonts w:ascii="Garamond" w:hAnsi="Garamond"/>
            <w:bCs/>
          </w:rPr>
          <w:alias w:val="avvocatura"/>
          <w:tag w:val="avvocatura"/>
          <w:id w:val="-538431897"/>
          <w:placeholder>
            <w:docPart w:val="DefaultPlaceholder_-1854013440"/>
          </w:placeholder>
          <w:showingPlcHdr/>
          <w:text/>
        </w:sdtPr>
        <w:sdtContent>
          <w:r w:rsidRPr="00D4466B" w:rsidR="00D4466B">
            <w:rPr>
              <w:rStyle w:val="PlaceholderText"/>
              <w:lang w:val="en-US"/>
            </w:rPr>
            <w:t>Nonostante la regolare notificazione del ricorso, il Ministero dell'Interno non si è costituito.</w:t>
          </w:r>
        </w:sdtContent>
      </w:sdt>
    </w:p>
    <w:p w:rsidRPr="0002510E" w:rsidR="000819AD" w:rsidP="000819AD" w:rsidRDefault="000819AD" w14:paraId="73A14B71" w14:textId="5A3BE46F">
      <w:pPr>
        <w:spacing w:after="120" w:line="276" w:lineRule="auto"/>
        <w:jc w:val="both"/>
        <w:rPr>
          <w:rFonts w:ascii="Garamond" w:hAnsi="Garamond"/>
          <w:bCs/>
        </w:rPr>
      </w:pPr>
      <w:r w:rsidRPr="004974B6">
        <w:rPr>
          <w:rFonts w:ascii="Garamond" w:hAnsi="Garamond"/>
          <w:bCs/>
        </w:rPr>
        <w:t xml:space="preserve">1.3. Il Pubblico Ministero, cui il ricorso è stato comunicato il </w:t>
      </w:r>
      <w:sdt>
        <w:sdtPr>
          <w:rPr>
            <w:rFonts w:ascii="Garamond" w:hAnsi="Garamond"/>
            <w:bCs/>
          </w:rPr>
          <w:alias w:val="data_aperta_pm"/>
          <w:tag w:val="data_aperta_pm"/>
          <w:id w:val="730041513"/>
          <w:placeholder>
            <w:docPart w:val="DefaultPlaceholder_-1854013440"/>
          </w:placeholder>
          <w:showingPlcHdr/>
          <w:text/>
        </w:sdtPr>
        <w:sdtContent>
          <w:r w:rsidRPr="00746AEA" w:rsidR="00D4466B">
            <w:rPr>
              <w:rStyle w:val="PlaceholderText"/>
            </w:rPr>
            <w:t>SI</w:t>
          </w:r>
        </w:sdtContent>
      </w:sdt>
      <w:r w:rsidRPr="004974B6">
        <w:rPr>
          <w:rFonts w:ascii="Garamond" w:hAnsi="Garamond"/>
          <w:bCs/>
        </w:rPr>
        <w:t xml:space="preserve">, </w:t>
      </w:r>
      <w:r>
        <w:rPr>
          <w:rFonts w:ascii="Garamond" w:hAnsi="Garamond"/>
          <w:bCs/>
        </w:rPr>
        <w:t>non ha formulato osservazioni</w:t>
      </w:r>
      <w:r w:rsidRPr="004974B6">
        <w:rPr>
          <w:rFonts w:ascii="Garamond" w:hAnsi="Garamond"/>
          <w:bCs/>
        </w:rPr>
        <w:t>.</w:t>
      </w:r>
    </w:p>
    <w:p w:rsidRPr="00D4466B" w:rsidR="000819AD" w:rsidP="000819AD" w:rsidRDefault="000819AD" w14:paraId="0DD82CD5" w14:textId="533DE455">
      <w:pPr>
        <w:spacing w:after="120" w:line="276" w:lineRule="auto"/>
        <w:jc w:val="both"/>
        <w:rPr>
          <w:rFonts w:ascii="Garamond" w:hAnsi="Garamond"/>
          <w:bCs/>
          <w:lang w:val="en-US"/>
        </w:rPr>
      </w:pPr>
      <w:r>
        <w:rPr>
          <w:rFonts w:ascii="Garamond" w:hAnsi="Garamond"/>
          <w:b/>
        </w:rPr>
        <w:t xml:space="preserve">2. </w:t>
      </w:r>
      <w:r>
        <w:rPr>
          <w:rFonts w:ascii="Garamond" w:hAnsi="Garamond"/>
          <w:bCs/>
        </w:rPr>
        <w:t>A</w:t>
      </w:r>
      <w:r w:rsidRPr="0002510E">
        <w:rPr>
          <w:rFonts w:ascii="Garamond" w:hAnsi="Garamond"/>
          <w:bCs/>
        </w:rPr>
        <w:t xml:space="preserve"> sostegno della domanda, i ricorrenti hanno </w:t>
      </w:r>
      <w:r>
        <w:rPr>
          <w:rFonts w:ascii="Garamond" w:hAnsi="Garamond"/>
          <w:bCs/>
        </w:rPr>
        <w:t xml:space="preserve">rivendicato la discendenza da </w:t>
      </w:r>
      <w:sdt>
        <w:sdtPr>
          <w:rPr>
            <w:rFonts w:ascii="Garamond" w:hAnsi="Garamond"/>
            <w:b/>
          </w:rPr>
          <w:alias w:val="nome_avo"/>
          <w:tag w:val="nome_avo"/>
          <w:id w:val="167529287"/>
          <w:placeholder>
            <w:docPart w:val="DefaultPlaceholder_-1854013440"/>
          </w:placeholder>
          <w:showingPlcHdr/>
          <w:text/>
        </w:sdtPr>
        <w:sdtContent>
          <w:r w:rsidRPr="00746AEA" w:rsidR="00D4466B">
            <w:rPr>
              <w:rStyle w:val="PlaceholderText"/>
            </w:rPr>
            <w:t>Carolina Luz Souza</w:t>
          </w:r>
        </w:sdtContent>
      </w:sdt>
      <w:r>
        <w:rPr>
          <w:rFonts w:ascii="Garamond" w:hAnsi="Garamond"/>
          <w:bCs/>
        </w:rPr>
        <w:t xml:space="preserve"> </w:t>
      </w:r>
      <w:r w:rsidRPr="00D4466B">
        <w:rPr>
          <w:rFonts w:ascii="Garamond" w:hAnsi="Garamond"/>
          <w:bCs/>
          <w:lang w:val="en-US"/>
        </w:rPr>
        <w:t xml:space="preserve">– </w:t>
      </w:r>
      <w:proofErr w:type="spellStart"/>
      <w:r w:rsidRPr="00D4466B">
        <w:rPr>
          <w:rFonts w:ascii="Garamond" w:hAnsi="Garamond"/>
          <w:bCs/>
          <w:lang w:val="en-US"/>
        </w:rPr>
        <w:t>nato</w:t>
      </w:r>
      <w:proofErr w:type="spellEnd"/>
      <w:r w:rsidRPr="00D4466B">
        <w:rPr>
          <w:rFonts w:ascii="Garamond" w:hAnsi="Garamond"/>
          <w:bCs/>
          <w:lang w:val="en-US"/>
        </w:rPr>
        <w:t xml:space="preserve"> a </w:t>
      </w:r>
      <w:sdt>
        <w:sdtPr>
          <w:rPr>
            <w:rFonts w:ascii="Garamond" w:hAnsi="Garamond"/>
            <w:bCs/>
          </w:rPr>
          <w:alias w:val="comune_avo"/>
          <w:tag w:val="comune_avo"/>
          <w:id w:val="-2010206828"/>
          <w:placeholder>
            <w:docPart w:val="DefaultPlaceholder_-1854013440"/>
          </w:placeholder>
          <w:showingPlcHdr/>
          <w:text/>
        </w:sdtPr>
        <w:sdtContent>
          <w:r w:rsidRPr="00D4466B" w:rsidR="00D4466B">
            <w:rPr>
              <w:rStyle w:val="PlaceholderText"/>
              <w:lang w:val="en-US"/>
            </w:rPr>
            <w:t>Bergamo</w:t>
          </w:r>
        </w:sdtContent>
      </w:sdt>
      <w:r w:rsidRPr="00D4466B">
        <w:rPr>
          <w:rFonts w:ascii="Garamond" w:hAnsi="Garamond"/>
          <w:bCs/>
          <w:lang w:val="en-US"/>
        </w:rPr>
        <w:t xml:space="preserve"> </w:t>
      </w:r>
      <w:r w:rsidRPr="00D4466B" w:rsidR="00D4466B">
        <w:rPr>
          <w:rFonts w:ascii="Garamond" w:hAnsi="Garamond"/>
          <w:bCs/>
          <w:lang w:val="en-US"/>
        </w:rPr>
        <w:t>I</w:t>
      </w:r>
      <w:r w:rsidRPr="00D4466B">
        <w:rPr>
          <w:rFonts w:ascii="Garamond" w:hAnsi="Garamond"/>
          <w:bCs/>
          <w:lang w:val="en-US"/>
        </w:rPr>
        <w:t>l</w:t>
      </w:r>
      <w:r w:rsidR="00D4466B">
        <w:rPr>
          <w:rFonts w:ascii="Garamond" w:hAnsi="Garamond"/>
          <w:bCs/>
          <w:lang w:val="en-US"/>
        </w:rPr>
        <w:t xml:space="preserve"> </w:t>
      </w:r>
      <w:sdt>
        <w:sdtPr>
          <w:rPr>
            <w:rFonts w:ascii="Garamond" w:hAnsi="Garamond"/>
            <w:bCs/>
          </w:rPr>
          <w:alias w:val="data_nascita_avo"/>
          <w:tag w:val="data_nascita_avo"/>
          <w:id w:val="290712877"/>
          <w:placeholder>
            <w:docPart w:val="DefaultPlaceholder_-1854013440"/>
          </w:placeholder>
          <w:showingPlcHdr/>
          <w:text/>
        </w:sdtPr>
        <w:sdtContent>
          <w:r w:rsidRPr="00D4466B" w:rsidR="00D4466B">
            <w:rPr>
              <w:rStyle w:val="PlaceholderText"/>
              <w:lang w:val="en-US"/>
            </w:rPr>
            <w:t>19-06-1940</w:t>
          </w:r>
        </w:sdtContent>
      </w:sdt>
      <w:r w:rsidRPr="00D4466B">
        <w:rPr>
          <w:rFonts w:ascii="Garamond" w:hAnsi="Garamond"/>
          <w:bCs/>
          <w:lang w:val="en-US"/>
        </w:rPr>
        <w:t xml:space="preserve">, </w:t>
      </w:r>
      <w:proofErr w:type="spellStart"/>
      <w:r w:rsidRPr="00D4466B">
        <w:rPr>
          <w:rFonts w:ascii="Garamond" w:hAnsi="Garamond"/>
          <w:bCs/>
          <w:highlight w:val="yellow"/>
          <w:lang w:val="en-US"/>
        </w:rPr>
        <w:t>emigrato</w:t>
      </w:r>
      <w:proofErr w:type="spellEnd"/>
      <w:r w:rsidRPr="00D4466B">
        <w:rPr>
          <w:rFonts w:ascii="Garamond" w:hAnsi="Garamond"/>
          <w:bCs/>
          <w:highlight w:val="yellow"/>
          <w:lang w:val="en-US"/>
        </w:rPr>
        <w:t xml:space="preserve"> </w:t>
      </w:r>
      <w:proofErr w:type="spellStart"/>
      <w:r w:rsidRPr="00D4466B">
        <w:rPr>
          <w:rFonts w:ascii="Garamond" w:hAnsi="Garamond"/>
          <w:bCs/>
          <w:highlight w:val="yellow"/>
          <w:lang w:val="en-US"/>
        </w:rPr>
        <w:t>dall’Italia</w:t>
      </w:r>
      <w:proofErr w:type="spellEnd"/>
      <w:r w:rsidRPr="00D4466B">
        <w:rPr>
          <w:rFonts w:ascii="Garamond" w:hAnsi="Garamond"/>
          <w:bCs/>
          <w:lang w:val="en-US"/>
        </w:rPr>
        <w:t xml:space="preserve"> il </w:t>
      </w:r>
      <w:r w:rsidRPr="0002510E">
        <w:rPr>
          <w:rFonts w:ascii="Garamond" w:hAnsi="Garamond"/>
          <w:bCs/>
        </w:rPr>
        <w:fldChar w:fldCharType="begin">
          <w:ffData>
            <w:name w:val="Testo34"/>
            <w:enabled/>
            <w:calcOnExit w:val="0"/>
            <w:textInput/>
          </w:ffData>
        </w:fldChar>
      </w:r>
      <w:r w:rsidRPr="00D4466B">
        <w:rPr>
          <w:rFonts w:ascii="Garamond" w:hAnsi="Garamond"/>
          <w:bCs/>
          <w:lang w:val="en-US"/>
        </w:rPr>
        <w:instrText xml:space="preserve"> FORMTEXT </w:instrText>
      </w:r>
      <w:r w:rsidRPr="0002510E">
        <w:rPr>
          <w:rFonts w:ascii="Garamond" w:hAnsi="Garamond"/>
          <w:bCs/>
        </w:rPr>
      </w:r>
      <w:r w:rsidRPr="0002510E">
        <w:rPr>
          <w:rFonts w:ascii="Garamond" w:hAnsi="Garamond"/>
          <w:bCs/>
        </w:rPr>
        <w:fldChar w:fldCharType="separate"/>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fldChar w:fldCharType="end"/>
      </w:r>
      <w:r w:rsidRPr="00D4466B">
        <w:rPr>
          <w:rFonts w:ascii="Garamond" w:hAnsi="Garamond"/>
          <w:bCs/>
          <w:lang w:val="en-US"/>
        </w:rPr>
        <w:t xml:space="preserve"> – </w:t>
      </w:r>
      <w:proofErr w:type="spellStart"/>
      <w:r w:rsidRPr="00D4466B">
        <w:rPr>
          <w:rFonts w:ascii="Garamond" w:hAnsi="Garamond"/>
          <w:bCs/>
          <w:lang w:val="en-US"/>
        </w:rPr>
        <w:t>esponendo</w:t>
      </w:r>
      <w:proofErr w:type="spellEnd"/>
      <w:r w:rsidRPr="00D4466B">
        <w:rPr>
          <w:rFonts w:ascii="Garamond" w:hAnsi="Garamond"/>
          <w:bCs/>
          <w:lang w:val="en-US"/>
        </w:rPr>
        <w:t xml:space="preserve"> </w:t>
      </w:r>
      <w:proofErr w:type="spellStart"/>
      <w:r w:rsidRPr="00D4466B">
        <w:rPr>
          <w:rFonts w:ascii="Garamond" w:hAnsi="Garamond"/>
          <w:bCs/>
          <w:lang w:val="en-US"/>
        </w:rPr>
        <w:t>che</w:t>
      </w:r>
      <w:proofErr w:type="spellEnd"/>
      <w:r w:rsidRPr="00D4466B">
        <w:rPr>
          <w:rFonts w:ascii="Garamond" w:hAnsi="Garamond"/>
          <w:bCs/>
          <w:lang w:val="en-US"/>
        </w:rPr>
        <w:t>:</w:t>
      </w:r>
    </w:p>
    <w:p w:rsidRPr="00D4466B" w:rsidR="000819AD" w:rsidP="000819AD" w:rsidRDefault="000819AD" w14:paraId="393CA7BE" w14:textId="2AD2EB82">
      <w:pPr>
        <w:pBdr>
          <w:left w:val="single" w:color="auto" w:sz="4" w:space="4"/>
        </w:pBdr>
        <w:spacing w:line="276" w:lineRule="auto"/>
        <w:ind w:left="567"/>
        <w:jc w:val="both"/>
        <w:rPr>
          <w:rFonts w:ascii="Garamond" w:hAnsi="Garamond"/>
          <w:bCs/>
          <w:i/>
          <w:iCs/>
          <w:lang w:val="en-US"/>
        </w:rPr>
      </w:pPr>
      <w:r w:rsidRPr="00D4466B">
        <w:rPr>
          <w:rFonts w:ascii="Garamond" w:hAnsi="Garamond"/>
          <w:bCs/>
          <w:highlight w:val="yellow"/>
          <w:lang w:val="en-US"/>
        </w:rPr>
        <w:br/>
      </w:r>
      <w:sdt>
        <w:sdtPr>
          <w:rPr>
            <w:rFonts w:ascii="Garamond" w:hAnsi="Garamond"/>
            <w:bCs/>
          </w:rPr>
          <w:alias w:val="racconto_discendenza"/>
          <w:tag w:val="racconto_discendenza"/>
          <w:id w:val="-977681537"/>
          <w:placeholder>
            <w:docPart w:val="DefaultPlaceholder_-1854013440"/>
          </w:placeholder>
          <w:showingPlcHdr/>
          <w:text/>
        </w:sdtPr>
        <w:sdtContent>
          <w:r w:rsidRPr="00D4466B" w:rsidR="00D4466B">
            <w:rPr>
              <w:rStyle w:val="PlaceholderText"/>
              <w:lang w:val="en-US"/>
            </w:rPr>
            <w:t>Linea di discendenza ricostruita da certificati esteri e italiani allegati al fascicolo. Nel ricorso risultano varianti anagrafiche/pseudonimi: Antonio Costa Souza (alias: Antonio Cost); Carolina Luz Souza (alias: Carolina Souz). Nel ricorso sono dichiarati i seguenti alias/pseudonimi: Carolina Souzo.</w:t>
          </w:r>
        </w:sdtContent>
      </w:sdt>
    </w:p>
    <w:p w:rsidRPr="00D4466B" w:rsidR="000819AD" w:rsidP="000819AD" w:rsidRDefault="000819AD" w14:paraId="66FBFEFC" w14:textId="77777777">
      <w:pPr>
        <w:pBdr>
          <w:left w:val="single" w:color="auto" w:sz="4" w:space="4"/>
        </w:pBdr>
        <w:spacing w:line="276" w:lineRule="auto"/>
        <w:ind w:left="567"/>
        <w:jc w:val="both"/>
        <w:rPr>
          <w:rFonts w:ascii="Garamond" w:hAnsi="Garamond"/>
          <w:bCs/>
          <w:lang w:val="en-US"/>
        </w:rPr>
      </w:pPr>
    </w:p>
    <w:sdt>
      <w:sdtPr>
        <w:rPr>
          <w:rFonts w:ascii="Garamond" w:hAnsi="Garamond"/>
          <w:bCs/>
        </w:rPr>
        <w:alias w:val="interventi_2"/>
        <w:tag w:val="interventi_2"/>
        <w:id w:val="-770007885"/>
        <w:placeholder>
          <w:docPart w:val="DefaultPlaceholder_-1854013440"/>
        </w:placeholder>
        <w:showingPlcHdr/>
        <w:text/>
      </w:sdtPr>
      <w:sdtContent>
        <w:p w:rsidRPr="00D4466B" w:rsidR="00D4466B" w:rsidP="00D4466B" w:rsidRDefault="00D4466B" w14:paraId="0935C95C" w14:textId="170AF69E">
          <w:pPr>
            <w:spacing w:before="240" w:after="120" w:line="276" w:lineRule="auto"/>
            <w:jc w:val="both"/>
            <w:rPr>
              <w:rFonts w:ascii="Garamond" w:hAnsi="Garamond"/>
              <w:bCs/>
              <w:lang w:val="en-US"/>
            </w:rPr>
          </w:pPr>
          <w:r w:rsidRPr="00D4466B">
            <w:rPr>
              <w:rStyle w:val="PlaceholderText"/>
              <w:lang w:val="en-US"/>
            </w:rPr>
            <w:t>2.1. Il terzo intervenuto ha rivendicato di essere discendente dallo stesso avo.</w:t>
          </w:r>
        </w:p>
      </w:sdtContent>
    </w:sdt>
    <w:p w:rsidRPr="0002510E" w:rsidR="000819AD" w:rsidP="000819AD" w:rsidRDefault="000819AD" w14:paraId="6B1E3CC0" w14:textId="4537D010">
      <w:pPr>
        <w:spacing w:after="120" w:line="276" w:lineRule="auto"/>
        <w:jc w:val="both"/>
        <w:rPr>
          <w:rFonts w:ascii="Garamond" w:hAnsi="Garamond"/>
          <w:bCs/>
        </w:rPr>
      </w:pPr>
      <w:r>
        <w:rPr>
          <w:rFonts w:ascii="Garamond" w:hAnsi="Garamond"/>
          <w:b/>
        </w:rPr>
        <w:t xml:space="preserve">3. </w:t>
      </w:r>
      <w:r w:rsidRPr="005B434B">
        <w:rPr>
          <w:rFonts w:ascii="Garamond" w:hAnsi="Garamond"/>
          <w:bCs/>
        </w:rPr>
        <w:t>3.1.</w:t>
      </w:r>
      <w:r>
        <w:rPr>
          <w:rFonts w:ascii="Garamond" w:hAnsi="Garamond"/>
          <w:b/>
        </w:rPr>
        <w:t xml:space="preserve"> </w:t>
      </w:r>
      <w:r>
        <w:rPr>
          <w:rFonts w:ascii="Garamond" w:hAnsi="Garamond"/>
          <w:bCs/>
        </w:rPr>
        <w:t xml:space="preserve">Si procede ai sensi dell’art. 3 co. 2 del </w:t>
      </w:r>
      <w:proofErr w:type="spellStart"/>
      <w:r>
        <w:rPr>
          <w:rFonts w:ascii="Garamond" w:hAnsi="Garamond"/>
          <w:bCs/>
        </w:rPr>
        <w:t>D.Lgs.</w:t>
      </w:r>
      <w:proofErr w:type="spellEnd"/>
      <w:r>
        <w:rPr>
          <w:rFonts w:ascii="Garamond" w:hAnsi="Garamond"/>
          <w:bCs/>
        </w:rPr>
        <w:t xml:space="preserve"> n. 13/17 («</w:t>
      </w:r>
      <w:r w:rsidRPr="00DB5D17">
        <w:rPr>
          <w:rFonts w:ascii="Garamond" w:hAnsi="Garamond"/>
          <w:bCs/>
          <w:i/>
          <w:iCs/>
        </w:rPr>
        <w:t>Le sezioni specializzate sono altresì competenti per le controversie in materia di accertamento dello stato di apolidia e dello stato di cittadinanza italiana</w:t>
      </w:r>
      <w:r>
        <w:rPr>
          <w:rFonts w:ascii="Garamond" w:hAnsi="Garamond"/>
          <w:bCs/>
        </w:rPr>
        <w:t xml:space="preserve">»); dell’art. 4 co. 5 II periodo del medesimo </w:t>
      </w:r>
      <w:proofErr w:type="spellStart"/>
      <w:r>
        <w:rPr>
          <w:rFonts w:ascii="Garamond" w:hAnsi="Garamond"/>
          <w:bCs/>
        </w:rPr>
        <w:t>D.Lgs.</w:t>
      </w:r>
      <w:proofErr w:type="spellEnd"/>
      <w:r>
        <w:rPr>
          <w:rFonts w:ascii="Garamond" w:hAnsi="Garamond"/>
          <w:bCs/>
        </w:rPr>
        <w:t>, introdotto dalla Legge n. 206/22 a decorrere dal 22.6.22 («</w:t>
      </w:r>
      <w:r w:rsidRPr="00DB5D17">
        <w:rPr>
          <w:rFonts w:ascii="Garamond" w:hAnsi="Garamond"/>
          <w:bCs/>
          <w:i/>
          <w:iCs/>
        </w:rPr>
        <w:t>Quando l</w:t>
      </w:r>
      <w:r>
        <w:rPr>
          <w:rFonts w:ascii="Garamond" w:hAnsi="Garamond"/>
          <w:bCs/>
          <w:i/>
          <w:iCs/>
        </w:rPr>
        <w:t>’</w:t>
      </w:r>
      <w:r w:rsidRPr="00DB5D17">
        <w:rPr>
          <w:rFonts w:ascii="Garamond" w:hAnsi="Garamond"/>
          <w:bCs/>
          <w:i/>
          <w:iCs/>
        </w:rPr>
        <w:t>attore risiede all</w:t>
      </w:r>
      <w:r>
        <w:rPr>
          <w:rFonts w:ascii="Garamond" w:hAnsi="Garamond"/>
          <w:bCs/>
          <w:i/>
          <w:iCs/>
        </w:rPr>
        <w:t>’</w:t>
      </w:r>
      <w:r w:rsidRPr="00DB5D17">
        <w:rPr>
          <w:rFonts w:ascii="Garamond" w:hAnsi="Garamond"/>
          <w:bCs/>
          <w:i/>
          <w:iCs/>
        </w:rPr>
        <w:t>estero le controversie di accertamento dello stato di cittadinanza italiana sono assegnate avendo riguardo al comune di nascita del padre, della madre o dell</w:t>
      </w:r>
      <w:r>
        <w:rPr>
          <w:rFonts w:ascii="Garamond" w:hAnsi="Garamond"/>
          <w:bCs/>
          <w:i/>
          <w:iCs/>
        </w:rPr>
        <w:t>’</w:t>
      </w:r>
      <w:r w:rsidRPr="00DB5D17">
        <w:rPr>
          <w:rFonts w:ascii="Garamond" w:hAnsi="Garamond"/>
          <w:bCs/>
          <w:i/>
          <w:iCs/>
        </w:rPr>
        <w:t>avo cittadini italiani</w:t>
      </w:r>
      <w:r>
        <w:rPr>
          <w:rFonts w:ascii="Garamond" w:hAnsi="Garamond"/>
          <w:bCs/>
        </w:rPr>
        <w:t>») e dell’art. 19-</w:t>
      </w:r>
      <w:r>
        <w:rPr>
          <w:rFonts w:ascii="Garamond" w:hAnsi="Garamond"/>
          <w:bCs/>
          <w:i/>
          <w:iCs/>
        </w:rPr>
        <w:t>bis</w:t>
      </w:r>
      <w:r>
        <w:rPr>
          <w:rFonts w:ascii="Garamond" w:hAnsi="Garamond"/>
          <w:bCs/>
        </w:rPr>
        <w:t xml:space="preserve"> del </w:t>
      </w:r>
      <w:proofErr w:type="spellStart"/>
      <w:r>
        <w:rPr>
          <w:rFonts w:ascii="Garamond" w:hAnsi="Garamond"/>
          <w:bCs/>
        </w:rPr>
        <w:t>D.Lgs.</w:t>
      </w:r>
      <w:proofErr w:type="spellEnd"/>
      <w:r>
        <w:rPr>
          <w:rFonts w:ascii="Garamond" w:hAnsi="Garamond"/>
          <w:bCs/>
        </w:rPr>
        <w:t xml:space="preserve"> n. 150/11 («</w:t>
      </w:r>
      <w:r w:rsidRPr="00DB5D17">
        <w:rPr>
          <w:rFonts w:ascii="Garamond" w:hAnsi="Garamond"/>
          <w:bCs/>
          <w:i/>
          <w:iCs/>
        </w:rPr>
        <w:t xml:space="preserve">Le controversie in materia di accertamento dello stato di apolidia e di cittadinanza italiana sono regolate dal rito </w:t>
      </w:r>
      <w:r w:rsidRPr="00205F3E">
        <w:rPr>
          <w:rFonts w:ascii="Garamond" w:hAnsi="Garamond"/>
          <w:bCs/>
          <w:i/>
          <w:iCs/>
        </w:rPr>
        <w:t>semplificato di cognizione</w:t>
      </w:r>
      <w:r w:rsidRPr="00205F3E">
        <w:rPr>
          <w:rFonts w:ascii="Garamond" w:hAnsi="Garamond"/>
          <w:bCs/>
        </w:rPr>
        <w:t xml:space="preserve">» per i ricorsi depositati dopo il 28.2.23, a norma del </w:t>
      </w:r>
      <w:proofErr w:type="spellStart"/>
      <w:r w:rsidRPr="00205F3E">
        <w:rPr>
          <w:rFonts w:ascii="Garamond" w:hAnsi="Garamond"/>
          <w:bCs/>
        </w:rPr>
        <w:t>D.Lgs.</w:t>
      </w:r>
      <w:proofErr w:type="spellEnd"/>
      <w:r w:rsidRPr="00205F3E">
        <w:rPr>
          <w:rFonts w:ascii="Garamond" w:hAnsi="Garamond"/>
          <w:bCs/>
        </w:rPr>
        <w:t xml:space="preserve"> n. 149/22).</w:t>
      </w:r>
      <w:r>
        <w:rPr>
          <w:rFonts w:ascii="Garamond" w:hAnsi="Garamond"/>
          <w:bCs/>
        </w:rPr>
        <w:t xml:space="preserve"> Parte delle cause in materia di cittadinanza è stata assegnata a questa Sezione, in luogo di quella specializzata, con decreto del Presidente del Tribunale n. 77 del 22.9.25, ai sensi del D.L. n. 117/25.</w:t>
      </w:r>
    </w:p>
    <w:p w:rsidR="000819AD" w:rsidP="000819AD" w:rsidRDefault="000819AD" w14:paraId="020D8BF6" w14:textId="77777777">
      <w:pPr>
        <w:spacing w:after="120" w:line="276" w:lineRule="auto"/>
        <w:jc w:val="both"/>
        <w:rPr>
          <w:rFonts w:ascii="Garamond" w:hAnsi="Garamond"/>
          <w:bCs/>
        </w:rPr>
      </w:pPr>
      <w:r>
        <w:rPr>
          <w:rFonts w:ascii="Garamond" w:hAnsi="Garamond"/>
          <w:bCs/>
        </w:rPr>
        <w:t xml:space="preserve">3.2. Va premesso che né la previa proposizione della domanda in via amministrativa né il superamento del termine previsto per la conclusione del relativo procedimento (730 giorni ai sensi dell’art. 3 del D.P.R. n. 362/94) costituiscono condizione di procedibilità: in quanto sanzione processuale limitativa del diritto di azione, essa avrebbe dovuto essere prevista espressamente e non può essere oggetto di interpretazione estensiva. D’altronde, il noto ritardo delle Autorità Consolari, dovuto all’elevatissima mole di istanze pervenute, si traduce nell’impossibilità di fatto di vedere riconosciuto un diritto fondamentale e originario come la cittadinanza, con conseguente ammissibilità del rimedio giurisdizionale (cfr. Tribunale di Roma, </w:t>
      </w:r>
      <w:proofErr w:type="spellStart"/>
      <w:r>
        <w:rPr>
          <w:rFonts w:ascii="Garamond" w:hAnsi="Garamond"/>
          <w:bCs/>
        </w:rPr>
        <w:t>ord</w:t>
      </w:r>
      <w:proofErr w:type="spellEnd"/>
      <w:r>
        <w:rPr>
          <w:rFonts w:ascii="Garamond" w:hAnsi="Garamond"/>
          <w:bCs/>
        </w:rPr>
        <w:t>. n. 21806/21).</w:t>
      </w:r>
    </w:p>
    <w:p w:rsidRPr="0002510E" w:rsidR="000819AD" w:rsidP="000819AD" w:rsidRDefault="000819AD" w14:paraId="5CBF19BB" w14:textId="77777777">
      <w:pPr>
        <w:spacing w:after="120" w:line="276" w:lineRule="auto"/>
        <w:jc w:val="both"/>
        <w:rPr>
          <w:rFonts w:ascii="Garamond" w:hAnsi="Garamond"/>
          <w:bCs/>
        </w:rPr>
      </w:pPr>
      <w:r>
        <w:rPr>
          <w:rFonts w:ascii="Garamond" w:hAnsi="Garamond"/>
          <w:bCs/>
        </w:rPr>
        <w:t xml:space="preserve">3.3. </w:t>
      </w:r>
      <w:r w:rsidRPr="0002510E">
        <w:rPr>
          <w:rFonts w:ascii="Garamond" w:hAnsi="Garamond"/>
          <w:bCs/>
        </w:rPr>
        <w:t>Il quadro storico-normativo può essere così ricostruito:</w:t>
      </w:r>
    </w:p>
    <w:p w:rsidRPr="0002510E" w:rsidR="000819AD" w:rsidP="000819AD" w:rsidRDefault="000819AD" w14:paraId="2A4B1213" w14:textId="77777777">
      <w:pPr>
        <w:numPr>
          <w:ilvl w:val="0"/>
          <w:numId w:val="17"/>
        </w:numPr>
        <w:spacing w:after="120" w:line="276" w:lineRule="auto"/>
        <w:jc w:val="both"/>
        <w:rPr>
          <w:rFonts w:ascii="Garamond" w:hAnsi="Garamond"/>
          <w:bCs/>
        </w:rPr>
      </w:pPr>
      <w:r w:rsidRPr="0002510E">
        <w:rPr>
          <w:rFonts w:ascii="Garamond" w:hAnsi="Garamond"/>
          <w:bCs/>
        </w:rPr>
        <w:t xml:space="preserve">lo Statuto Albertino, promulgato dal Re di Sardegna Carlo Alberto </w:t>
      </w:r>
      <w:r>
        <w:rPr>
          <w:rFonts w:ascii="Garamond" w:hAnsi="Garamond"/>
          <w:bCs/>
        </w:rPr>
        <w:t>il 4.3.</w:t>
      </w:r>
      <w:r w:rsidRPr="0002510E">
        <w:rPr>
          <w:rFonts w:ascii="Garamond" w:hAnsi="Garamond"/>
          <w:bCs/>
        </w:rPr>
        <w:t>1848</w:t>
      </w:r>
      <w:r>
        <w:rPr>
          <w:rFonts w:ascii="Garamond" w:hAnsi="Garamond"/>
          <w:bCs/>
        </w:rPr>
        <w:t>,</w:t>
      </w:r>
      <w:r w:rsidRPr="0002510E">
        <w:rPr>
          <w:rFonts w:ascii="Garamond" w:hAnsi="Garamond"/>
          <w:bCs/>
        </w:rPr>
        <w:t xml:space="preserve"> non </w:t>
      </w:r>
      <w:r>
        <w:rPr>
          <w:rFonts w:ascii="Garamond" w:hAnsi="Garamond"/>
          <w:bCs/>
        </w:rPr>
        <w:t xml:space="preserve">recava </w:t>
      </w:r>
      <w:r w:rsidRPr="0002510E">
        <w:rPr>
          <w:rFonts w:ascii="Garamond" w:hAnsi="Garamond"/>
          <w:bCs/>
        </w:rPr>
        <w:t>una definizione di chi dovesse intendersi come “</w:t>
      </w:r>
      <w:r w:rsidRPr="0002510E">
        <w:rPr>
          <w:rFonts w:ascii="Garamond" w:hAnsi="Garamond"/>
          <w:bCs/>
          <w:i/>
          <w:iCs/>
        </w:rPr>
        <w:t>regnicolo</w:t>
      </w:r>
      <w:r w:rsidRPr="0002510E">
        <w:rPr>
          <w:rFonts w:ascii="Garamond" w:hAnsi="Garamond"/>
          <w:bCs/>
        </w:rPr>
        <w:t>”;</w:t>
      </w:r>
    </w:p>
    <w:p w:rsidR="000819AD" w:rsidP="000819AD" w:rsidRDefault="000819AD" w14:paraId="1D01260A" w14:textId="77777777">
      <w:pPr>
        <w:numPr>
          <w:ilvl w:val="0"/>
          <w:numId w:val="17"/>
        </w:numPr>
        <w:spacing w:after="120" w:line="276" w:lineRule="auto"/>
        <w:jc w:val="both"/>
        <w:rPr>
          <w:rFonts w:ascii="Garamond" w:hAnsi="Garamond"/>
          <w:bCs/>
        </w:rPr>
      </w:pPr>
      <w:r w:rsidRPr="0002510E">
        <w:rPr>
          <w:rFonts w:ascii="Garamond" w:hAnsi="Garamond"/>
          <w:bCs/>
        </w:rPr>
        <w:t xml:space="preserve">con la proclamazione del Regno d’Italia il 18.3.1861, </w:t>
      </w:r>
      <w:r>
        <w:rPr>
          <w:rFonts w:ascii="Garamond" w:hAnsi="Garamond"/>
          <w:bCs/>
        </w:rPr>
        <w:t xml:space="preserve">per volontà di Vittorio Emanuele II </w:t>
      </w:r>
      <w:r w:rsidRPr="0002510E">
        <w:rPr>
          <w:rFonts w:ascii="Garamond" w:hAnsi="Garamond"/>
          <w:bCs/>
        </w:rPr>
        <w:t xml:space="preserve">lo Statuto Albertino </w:t>
      </w:r>
      <w:r>
        <w:rPr>
          <w:rFonts w:ascii="Garamond" w:hAnsi="Garamond"/>
          <w:bCs/>
        </w:rPr>
        <w:t xml:space="preserve">divenne </w:t>
      </w:r>
      <w:r w:rsidRPr="0002510E">
        <w:rPr>
          <w:rFonts w:ascii="Garamond" w:hAnsi="Garamond"/>
          <w:bCs/>
        </w:rPr>
        <w:t>Legge Fondamentale del nuovo Stato;</w:t>
      </w:r>
    </w:p>
    <w:p w:rsidRPr="0002510E" w:rsidR="000819AD" w:rsidP="000819AD" w:rsidRDefault="000819AD" w14:paraId="501D1DE1" w14:textId="77777777">
      <w:pPr>
        <w:numPr>
          <w:ilvl w:val="0"/>
          <w:numId w:val="17"/>
        </w:numPr>
        <w:spacing w:after="120" w:line="276" w:lineRule="auto"/>
        <w:jc w:val="both"/>
        <w:rPr>
          <w:rFonts w:ascii="Garamond" w:hAnsi="Garamond"/>
          <w:bCs/>
        </w:rPr>
      </w:pPr>
      <w:r>
        <w:rPr>
          <w:rFonts w:ascii="Garamond" w:hAnsi="Garamond"/>
          <w:bCs/>
        </w:rPr>
        <w:t>continuavano tuttavia ad applicarsi i vecchi codici civili degli Stati preunitari; quello piemontese del 1837, per esempio, prevedeva che la cittadinanza derivasse dal padre (cfr. art. 19);</w:t>
      </w:r>
    </w:p>
    <w:p w:rsidRPr="0002510E" w:rsidR="000819AD" w:rsidP="000819AD" w:rsidRDefault="000819AD" w14:paraId="08102F30" w14:textId="77777777">
      <w:pPr>
        <w:numPr>
          <w:ilvl w:val="0"/>
          <w:numId w:val="17"/>
        </w:numPr>
        <w:spacing w:after="120" w:line="276" w:lineRule="auto"/>
        <w:jc w:val="both"/>
        <w:rPr>
          <w:rFonts w:ascii="Garamond" w:hAnsi="Garamond"/>
          <w:bCs/>
        </w:rPr>
      </w:pPr>
      <w:r>
        <w:rPr>
          <w:rFonts w:ascii="Garamond" w:hAnsi="Garamond"/>
          <w:bCs/>
        </w:rPr>
        <w:t xml:space="preserve">il </w:t>
      </w:r>
      <w:r w:rsidRPr="0002510E">
        <w:rPr>
          <w:rFonts w:ascii="Garamond" w:hAnsi="Garamond"/>
          <w:bCs/>
        </w:rPr>
        <w:t xml:space="preserve">Codice Civile </w:t>
      </w:r>
      <w:r>
        <w:rPr>
          <w:rFonts w:ascii="Garamond" w:hAnsi="Garamond"/>
          <w:bCs/>
        </w:rPr>
        <w:t xml:space="preserve">italiano </w:t>
      </w:r>
      <w:r w:rsidRPr="0002510E">
        <w:rPr>
          <w:rFonts w:ascii="Garamond" w:hAnsi="Garamond"/>
          <w:bCs/>
        </w:rPr>
        <w:t xml:space="preserve">del 1865 stabiliva </w:t>
      </w:r>
      <w:r>
        <w:rPr>
          <w:rFonts w:ascii="Garamond" w:hAnsi="Garamond"/>
          <w:bCs/>
        </w:rPr>
        <w:t xml:space="preserve">all’art. 4 </w:t>
      </w:r>
      <w:r w:rsidRPr="0002510E">
        <w:rPr>
          <w:rFonts w:ascii="Garamond" w:hAnsi="Garamond"/>
          <w:bCs/>
        </w:rPr>
        <w:t>che «</w:t>
      </w:r>
      <w:r w:rsidRPr="0002510E">
        <w:rPr>
          <w:rFonts w:ascii="Garamond" w:hAnsi="Garamond"/>
          <w:bCs/>
          <w:i/>
          <w:iCs/>
        </w:rPr>
        <w:t>è cittadino il figlio di padre cittadino</w:t>
      </w:r>
      <w:r w:rsidRPr="0002510E">
        <w:rPr>
          <w:rFonts w:ascii="Garamond" w:hAnsi="Garamond"/>
          <w:bCs/>
        </w:rPr>
        <w:t>»;</w:t>
      </w:r>
      <w:r>
        <w:rPr>
          <w:rFonts w:ascii="Garamond" w:hAnsi="Garamond"/>
          <w:bCs/>
        </w:rPr>
        <w:t xml:space="preserve"> all’art. 14 che «</w:t>
      </w:r>
      <w:r>
        <w:rPr>
          <w:rFonts w:ascii="Garamond" w:hAnsi="Garamond"/>
          <w:bCs/>
          <w:i/>
          <w:iCs/>
        </w:rPr>
        <w:t>la donna cittadina che si marita a uno straniero diviene straniera, sempreché col fatto del matrimonio acquisti la cittadinanza del marito</w:t>
      </w:r>
      <w:r>
        <w:rPr>
          <w:rFonts w:ascii="Garamond" w:hAnsi="Garamond"/>
          <w:bCs/>
        </w:rPr>
        <w:t>»;</w:t>
      </w:r>
    </w:p>
    <w:p w:rsidRPr="0002510E" w:rsidR="000819AD" w:rsidP="000819AD" w:rsidRDefault="000819AD" w14:paraId="6FEEEDDF" w14:textId="77777777">
      <w:pPr>
        <w:numPr>
          <w:ilvl w:val="0"/>
          <w:numId w:val="17"/>
        </w:numPr>
        <w:spacing w:after="120" w:line="276" w:lineRule="auto"/>
        <w:jc w:val="both"/>
        <w:rPr>
          <w:rFonts w:ascii="Garamond" w:hAnsi="Garamond"/>
          <w:bCs/>
        </w:rPr>
      </w:pPr>
      <w:r w:rsidRPr="0002510E">
        <w:rPr>
          <w:rFonts w:ascii="Garamond" w:hAnsi="Garamond"/>
          <w:bCs/>
        </w:rPr>
        <w:t>il 19.10.1866 anche il Veneto venne annesso al Regno d’Italia; il 20.9.1870 fu la volta del Lazio; il 16.7.1920 del Trentino e del Friuli;</w:t>
      </w:r>
    </w:p>
    <w:p w:rsidR="000819AD" w:rsidP="000819AD" w:rsidRDefault="000819AD" w14:paraId="3C286F03" w14:textId="77777777">
      <w:pPr>
        <w:numPr>
          <w:ilvl w:val="0"/>
          <w:numId w:val="17"/>
        </w:numPr>
        <w:spacing w:after="120" w:line="276" w:lineRule="auto"/>
        <w:jc w:val="both"/>
        <w:rPr>
          <w:rFonts w:ascii="Garamond" w:hAnsi="Garamond"/>
          <w:bCs/>
        </w:rPr>
      </w:pPr>
      <w:r w:rsidRPr="0002510E">
        <w:rPr>
          <w:rFonts w:ascii="Garamond" w:hAnsi="Garamond"/>
          <w:bCs/>
        </w:rPr>
        <w:t xml:space="preserve">i cittadini degli Stati preunitari morti dopo quelle date </w:t>
      </w:r>
      <w:r>
        <w:rPr>
          <w:rFonts w:ascii="Garamond" w:hAnsi="Garamond"/>
          <w:bCs/>
        </w:rPr>
        <w:t xml:space="preserve">erano dunque diventati e sono considerati </w:t>
      </w:r>
      <w:r w:rsidRPr="0002510E">
        <w:rPr>
          <w:rFonts w:ascii="Garamond" w:hAnsi="Garamond"/>
          <w:bCs/>
        </w:rPr>
        <w:t>cittadini del Regno d’Italia;</w:t>
      </w:r>
    </w:p>
    <w:p w:rsidR="000819AD" w:rsidP="000819AD" w:rsidRDefault="000819AD" w14:paraId="76378840" w14:textId="77777777">
      <w:pPr>
        <w:numPr>
          <w:ilvl w:val="0"/>
          <w:numId w:val="17"/>
        </w:numPr>
        <w:spacing w:after="120" w:line="276" w:lineRule="auto"/>
        <w:jc w:val="both"/>
        <w:rPr>
          <w:rFonts w:ascii="Garamond" w:hAnsi="Garamond"/>
          <w:bCs/>
        </w:rPr>
      </w:pPr>
      <w:r w:rsidRPr="0002510E">
        <w:rPr>
          <w:rFonts w:ascii="Garamond" w:hAnsi="Garamond"/>
          <w:bCs/>
        </w:rPr>
        <w:t xml:space="preserve">la Legge n. 555/1912 </w:t>
      </w:r>
      <w:r>
        <w:rPr>
          <w:rFonts w:ascii="Garamond" w:hAnsi="Garamond"/>
          <w:bCs/>
        </w:rPr>
        <w:t>disciplinò per la prima volta in modo organico la cittadinanza italiana, abrogando le relative disposizioni del Codice Civile del 1865 (art. 17), ma comunque ribadendo che «</w:t>
      </w:r>
      <w:r>
        <w:rPr>
          <w:rFonts w:ascii="Garamond" w:hAnsi="Garamond"/>
          <w:bCs/>
          <w:i/>
          <w:iCs/>
        </w:rPr>
        <w:t>è cittadino per nascita il figlio di padre cittadino</w:t>
      </w:r>
      <w:r>
        <w:rPr>
          <w:rFonts w:ascii="Garamond" w:hAnsi="Garamond"/>
          <w:bCs/>
        </w:rPr>
        <w:t>» (art. 1) e che «</w:t>
      </w:r>
      <w:r>
        <w:rPr>
          <w:rFonts w:ascii="Garamond" w:hAnsi="Garamond"/>
          <w:bCs/>
          <w:i/>
          <w:iCs/>
        </w:rPr>
        <w:t>la donna cittadina che si marita a uno straniero perde la cittadinanza italiana, sempreché il marito possieda una cittadinanza che pel fatto del matrimonio a lei si comunichi</w:t>
      </w:r>
      <w:r>
        <w:rPr>
          <w:rFonts w:ascii="Garamond" w:hAnsi="Garamond"/>
          <w:bCs/>
        </w:rPr>
        <w:t>» (art. 10 co. 3);</w:t>
      </w:r>
    </w:p>
    <w:p w:rsidR="000819AD" w:rsidP="000819AD" w:rsidRDefault="000819AD" w14:paraId="4B72E800" w14:textId="77777777">
      <w:pPr>
        <w:numPr>
          <w:ilvl w:val="0"/>
          <w:numId w:val="17"/>
        </w:numPr>
        <w:spacing w:after="120" w:line="276" w:lineRule="auto"/>
        <w:jc w:val="both"/>
        <w:rPr>
          <w:rFonts w:ascii="Garamond" w:hAnsi="Garamond"/>
          <w:bCs/>
        </w:rPr>
      </w:pPr>
      <w:r>
        <w:rPr>
          <w:rFonts w:ascii="Garamond" w:hAnsi="Garamond"/>
          <w:bCs/>
        </w:rPr>
        <w:t>con la Costituzione entrata in vigore il 1.1.1948, l’Italia è diventata una Repubblica;</w:t>
      </w:r>
    </w:p>
    <w:p w:rsidR="000819AD" w:rsidP="000819AD" w:rsidRDefault="000819AD" w14:paraId="123B1F72" w14:textId="77777777">
      <w:pPr>
        <w:numPr>
          <w:ilvl w:val="0"/>
          <w:numId w:val="17"/>
        </w:numPr>
        <w:spacing w:after="120" w:line="276" w:lineRule="auto"/>
        <w:jc w:val="both"/>
        <w:rPr>
          <w:rFonts w:ascii="Garamond" w:hAnsi="Garamond"/>
          <w:bCs/>
        </w:rPr>
      </w:pPr>
      <w:r>
        <w:rPr>
          <w:rFonts w:ascii="Garamond" w:hAnsi="Garamond"/>
          <w:bCs/>
        </w:rPr>
        <w:t>anni dopo, la Corte Costituzionale ha dichiarato l’illegittimità delle due norme da ultimo richiamate: (</w:t>
      </w:r>
      <w:r>
        <w:rPr>
          <w:rFonts w:ascii="Garamond" w:hAnsi="Garamond"/>
          <w:bCs/>
          <w:i/>
          <w:iCs/>
        </w:rPr>
        <w:t>i</w:t>
      </w:r>
      <w:r>
        <w:rPr>
          <w:rFonts w:ascii="Garamond" w:hAnsi="Garamond"/>
          <w:bCs/>
        </w:rPr>
        <w:t xml:space="preserve">) la prima, con </w:t>
      </w:r>
      <w:proofErr w:type="spellStart"/>
      <w:r>
        <w:rPr>
          <w:rFonts w:ascii="Garamond" w:hAnsi="Garamond"/>
          <w:bCs/>
        </w:rPr>
        <w:t>sent</w:t>
      </w:r>
      <w:proofErr w:type="spellEnd"/>
      <w:r>
        <w:rPr>
          <w:rFonts w:ascii="Garamond" w:hAnsi="Garamond"/>
          <w:bCs/>
        </w:rPr>
        <w:t xml:space="preserve">. n. 30/1987, nella parte in cui non prevedeva che fosse cittadino </w:t>
      </w:r>
      <w:r>
        <w:rPr>
          <w:rFonts w:ascii="Garamond" w:hAnsi="Garamond"/>
          <w:bCs/>
        </w:rPr>
        <w:lastRenderedPageBreak/>
        <w:t>per nascita anche il figlio di madre cittadina; (</w:t>
      </w:r>
      <w:r>
        <w:rPr>
          <w:rFonts w:ascii="Garamond" w:hAnsi="Garamond"/>
          <w:bCs/>
          <w:i/>
          <w:iCs/>
        </w:rPr>
        <w:t>ii</w:t>
      </w:r>
      <w:r>
        <w:rPr>
          <w:rFonts w:ascii="Garamond" w:hAnsi="Garamond"/>
          <w:bCs/>
        </w:rPr>
        <w:t xml:space="preserve">) la seconda, con </w:t>
      </w:r>
      <w:proofErr w:type="spellStart"/>
      <w:r>
        <w:rPr>
          <w:rFonts w:ascii="Garamond" w:hAnsi="Garamond"/>
          <w:bCs/>
        </w:rPr>
        <w:t>sent</w:t>
      </w:r>
      <w:proofErr w:type="spellEnd"/>
      <w:r>
        <w:rPr>
          <w:rFonts w:ascii="Garamond" w:hAnsi="Garamond"/>
          <w:bCs/>
        </w:rPr>
        <w:t>. n. 87/1975, nella parte in cui prevedeva la perdita della cittadinanza italiana indipendentemente dalla volontà della donna. Deve ritenersi che le stesse conclusioni valgano anche per gli identici artt. 4 e 14 del Codice Civile del 1865, sopra riportati;</w:t>
      </w:r>
    </w:p>
    <w:p w:rsidRPr="009A2445" w:rsidR="000819AD" w:rsidP="000819AD" w:rsidRDefault="000819AD" w14:paraId="01320AEB" w14:textId="77777777">
      <w:pPr>
        <w:numPr>
          <w:ilvl w:val="0"/>
          <w:numId w:val="17"/>
        </w:numPr>
        <w:spacing w:after="120" w:line="276" w:lineRule="auto"/>
        <w:jc w:val="both"/>
        <w:rPr>
          <w:rFonts w:ascii="Garamond" w:hAnsi="Garamond"/>
          <w:bCs/>
        </w:rPr>
      </w:pPr>
      <w:r>
        <w:rPr>
          <w:rFonts w:ascii="Garamond" w:hAnsi="Garamond"/>
          <w:bCs/>
        </w:rPr>
        <w:t>per dirimere alcuni contrasti insorti nella giurisprudenza di legittimità, la Corte di Cassazione a Sezioni Unite ha chiarito che: «</w:t>
      </w:r>
      <w:r w:rsidRPr="00C90A6D">
        <w:rPr>
          <w:rFonts w:ascii="Garamond" w:hAnsi="Garamond"/>
          <w:bCs/>
          <w:i/>
          <w:iCs/>
        </w:rPr>
        <w:t xml:space="preserve">Le norme </w:t>
      </w:r>
      <w:proofErr w:type="spellStart"/>
      <w:r w:rsidRPr="00C90A6D">
        <w:rPr>
          <w:rFonts w:ascii="Garamond" w:hAnsi="Garamond"/>
          <w:bCs/>
          <w:i/>
          <w:iCs/>
        </w:rPr>
        <w:t>precostituzionali</w:t>
      </w:r>
      <w:proofErr w:type="spellEnd"/>
      <w:r w:rsidRPr="00C90A6D">
        <w:rPr>
          <w:rFonts w:ascii="Garamond" w:hAnsi="Garamond"/>
          <w:bCs/>
          <w:i/>
          <w:iCs/>
        </w:rPr>
        <w:t xml:space="preserve"> riconosciute illegittime per effetto di sentenze del giudice della legge sono inapplicabili e non hanno più effetto dal 1 gennaio 1948 sui rapporti su cui ancora incidono, se permanga la discriminazione delle persone per il loro sesso o la preminenza del marito nei rapporti familiari, sempre che vi sia una persona sulla quale determinano ancora conseguenze ingiuste, ma giustiziabili, cioè tutelabili in sede giurisdizionale. Di certo non può costituire criterio ermeneutico in senso opposto degli effetti delle sentenz</w:t>
      </w:r>
      <w:r>
        <w:rPr>
          <w:rFonts w:ascii="Garamond" w:hAnsi="Garamond"/>
          <w:bCs/>
          <w:i/>
          <w:iCs/>
        </w:rPr>
        <w:t xml:space="preserve">e </w:t>
      </w:r>
      <w:r w:rsidRPr="00C90A6D">
        <w:rPr>
          <w:rFonts w:ascii="Garamond" w:hAnsi="Garamond"/>
          <w:bCs/>
          <w:i/>
          <w:iCs/>
        </w:rPr>
        <w:t>d</w:t>
      </w:r>
      <w:r>
        <w:rPr>
          <w:rFonts w:ascii="Garamond" w:hAnsi="Garamond"/>
          <w:bCs/>
          <w:i/>
          <w:iCs/>
        </w:rPr>
        <w:t>’</w:t>
      </w:r>
      <w:r w:rsidRPr="00C90A6D">
        <w:rPr>
          <w:rFonts w:ascii="Garamond" w:hAnsi="Garamond"/>
          <w:bCs/>
          <w:i/>
          <w:iCs/>
        </w:rPr>
        <w:t>incostituzionalità delle leggi, la diffidenza della prassi amministrativa verso una eccessiva espansione della retroattività, che potrebbe dar luogo ad una moltiplicazione di richieste di cittadinanza dai discendenti dei cittadini italiani emigrati in altri Stati</w:t>
      </w:r>
      <w:r>
        <w:rPr>
          <w:rFonts w:ascii="Garamond" w:hAnsi="Garamond"/>
          <w:bCs/>
        </w:rPr>
        <w:t>» (</w:t>
      </w:r>
      <w:proofErr w:type="spellStart"/>
      <w:r>
        <w:rPr>
          <w:rFonts w:ascii="Garamond" w:hAnsi="Garamond"/>
          <w:bCs/>
        </w:rPr>
        <w:t>sent</w:t>
      </w:r>
      <w:proofErr w:type="spellEnd"/>
      <w:r>
        <w:rPr>
          <w:rFonts w:ascii="Garamond" w:hAnsi="Garamond"/>
          <w:bCs/>
        </w:rPr>
        <w:t>. n. 4466/09); la stessa pronuncia ha precisato che la linea femminile di discendenza non è interrotta dal matrimonio della donna con un cittadino straniero, anche se avvenuto prima dell’entrata in vigore della Costituzione;</w:t>
      </w:r>
    </w:p>
    <w:p w:rsidR="000819AD" w:rsidP="000819AD" w:rsidRDefault="000819AD" w14:paraId="77D99D2E" w14:textId="77777777">
      <w:pPr>
        <w:numPr>
          <w:ilvl w:val="0"/>
          <w:numId w:val="17"/>
        </w:numPr>
        <w:spacing w:after="120" w:line="276" w:lineRule="auto"/>
        <w:jc w:val="both"/>
        <w:rPr>
          <w:rFonts w:ascii="Garamond" w:hAnsi="Garamond"/>
          <w:bCs/>
        </w:rPr>
      </w:pPr>
      <w:r w:rsidRPr="00E840FF">
        <w:rPr>
          <w:rFonts w:ascii="Garamond" w:hAnsi="Garamond"/>
          <w:bCs/>
        </w:rPr>
        <w:t>la Legge n. 91/92 stabilisce che «</w:t>
      </w:r>
      <w:r w:rsidRPr="00E840FF">
        <w:rPr>
          <w:rFonts w:ascii="Garamond" w:hAnsi="Garamond"/>
          <w:bCs/>
          <w:i/>
          <w:iCs/>
        </w:rPr>
        <w:t>è cittadino per nascita il figlio di padre o di madre cittadini</w:t>
      </w:r>
      <w:r w:rsidRPr="00E840FF">
        <w:rPr>
          <w:rFonts w:ascii="Garamond" w:hAnsi="Garamond"/>
          <w:bCs/>
        </w:rPr>
        <w:t>» (art. 1)</w:t>
      </w:r>
      <w:r>
        <w:rPr>
          <w:rFonts w:ascii="Garamond" w:hAnsi="Garamond"/>
          <w:bCs/>
        </w:rPr>
        <w:t xml:space="preserve">; </w:t>
      </w:r>
    </w:p>
    <w:p w:rsidRPr="00B83EE9" w:rsidR="000819AD" w:rsidP="000819AD" w:rsidRDefault="000819AD" w14:paraId="726FD64F" w14:textId="77777777">
      <w:pPr>
        <w:numPr>
          <w:ilvl w:val="0"/>
          <w:numId w:val="17"/>
        </w:numPr>
        <w:spacing w:after="120" w:line="276" w:lineRule="auto"/>
        <w:ind w:left="714" w:hanging="357"/>
        <w:jc w:val="both"/>
        <w:rPr>
          <w:rFonts w:ascii="Garamond" w:hAnsi="Garamond"/>
          <w:bCs/>
          <w:i/>
          <w:iCs/>
        </w:rPr>
      </w:pPr>
      <w:r w:rsidRPr="00B83EE9">
        <w:rPr>
          <w:rFonts w:ascii="Garamond" w:hAnsi="Garamond"/>
          <w:bCs/>
        </w:rPr>
        <w:t>Il D.L. n. 36/25</w:t>
      </w:r>
      <w:r>
        <w:rPr>
          <w:rFonts w:ascii="Garamond" w:hAnsi="Garamond"/>
          <w:bCs/>
        </w:rPr>
        <w:t>,</w:t>
      </w:r>
      <w:r w:rsidRPr="00B83EE9">
        <w:rPr>
          <w:rFonts w:ascii="Garamond" w:hAnsi="Garamond"/>
          <w:bCs/>
        </w:rPr>
        <w:t xml:space="preserve"> </w:t>
      </w:r>
      <w:proofErr w:type="spellStart"/>
      <w:r w:rsidRPr="00B83EE9">
        <w:rPr>
          <w:rFonts w:ascii="Garamond" w:hAnsi="Garamond"/>
          <w:bCs/>
        </w:rPr>
        <w:t>conv</w:t>
      </w:r>
      <w:proofErr w:type="spellEnd"/>
      <w:r w:rsidRPr="00B83EE9">
        <w:rPr>
          <w:rFonts w:ascii="Garamond" w:hAnsi="Garamond"/>
          <w:bCs/>
        </w:rPr>
        <w:t>. nella Legge n. 74/25, ha introdotto l’art. 3-</w:t>
      </w:r>
      <w:r w:rsidRPr="00432584">
        <w:rPr>
          <w:rFonts w:ascii="Garamond" w:hAnsi="Garamond"/>
          <w:bCs/>
          <w:i/>
          <w:iCs/>
        </w:rPr>
        <w:t>bis</w:t>
      </w:r>
      <w:r w:rsidRPr="00B83EE9">
        <w:rPr>
          <w:rFonts w:ascii="Garamond" w:hAnsi="Garamond"/>
          <w:bCs/>
        </w:rPr>
        <w:t xml:space="preserve"> alla Legge n. 91/92, ai sensi del quale</w:t>
      </w:r>
      <w:r>
        <w:rPr>
          <w:rFonts w:ascii="Garamond" w:hAnsi="Garamond"/>
          <w:bCs/>
        </w:rPr>
        <w:t>:</w:t>
      </w:r>
      <w:r w:rsidRPr="00B83EE9">
        <w:rPr>
          <w:rFonts w:ascii="Garamond" w:hAnsi="Garamond"/>
          <w:bCs/>
        </w:rPr>
        <w:t xml:space="preserve"> «</w:t>
      </w:r>
      <w:r w:rsidRPr="00B83EE9">
        <w:rPr>
          <w:rFonts w:ascii="Garamond" w:hAnsi="Garamond"/>
          <w:bCs/>
          <w:i/>
          <w:iCs/>
        </w:rPr>
        <w:t>1. In deroga agli articoli 1, 2, 3, 14 e 20 della presente legge, all’articolo 5 della legge 21 aprile 1983, n. 123, agli articoli 1, 2, 7, 10, 12 e 19 della legge 13 giugno 1912, n. 555, nonché agli articoli 4, 5, 7, 8 e 9 del codice civile approvato con regio decreto 25 giugno 1865, n. 2358, è considerato non avere mai acquistato la cittadinanza italiana chi è nato all’estero anche prima della data di entrata in vigore del presente articolo ed è in possesso di altra cittadinanza, salvo che ricorra una delle seguenti condizioni: a) lo stato di cittadino dell’interessato è riconosciuto, nel rispetto della normativa applicabile al 27 marzo 2025, a seguito di domanda, corredata della necessaria documentazione, presentata all’ufficio consolare o al sindaco competenti non oltre le 23:59, ora di Roma, della medesima data; a-bis) lo stato di cittadino dell’interessato è riconosciuto, nel rispetto della normativa applicabile al 27 marzo 2025, a seguito di domanda, corredata della necessaria documentazione, presentata all’ufficio consolare o al sindaco competenti nel giorno indicato da appuntamento comunicato all’interessato dall’ufficio competente entro le 23:59, ora di Roma, della medesima data del 27 marzo 2025; b) lo stato di cittadino dell’interessato è accertato giudizialmente, nel rispetto della normativa applicabile al 27 marzo 2025, a seguito di domanda giudiziale presentata non oltre le 23:59, ora di Roma, della medesima data; c) un ascendente di primo o di secondo grado possiede, o possedeva al momento della morte, esclusivamente la cittadinanza italiana;</w:t>
      </w:r>
      <w:r>
        <w:rPr>
          <w:rFonts w:ascii="Garamond" w:hAnsi="Garamond"/>
          <w:bCs/>
          <w:i/>
          <w:iCs/>
        </w:rPr>
        <w:t xml:space="preserve"> </w:t>
      </w:r>
      <w:r w:rsidRPr="00B83EE9">
        <w:rPr>
          <w:rFonts w:ascii="Garamond" w:hAnsi="Garamond"/>
          <w:bCs/>
          <w:i/>
          <w:iCs/>
        </w:rPr>
        <w:t>d) un genitore o adottante è stato residente in Italia per almeno due anni continuativi successivamente all</w:t>
      </w:r>
      <w:r>
        <w:rPr>
          <w:rFonts w:ascii="Garamond" w:hAnsi="Garamond"/>
          <w:bCs/>
          <w:i/>
          <w:iCs/>
        </w:rPr>
        <w:t>’</w:t>
      </w:r>
      <w:r w:rsidRPr="00B83EE9">
        <w:rPr>
          <w:rFonts w:ascii="Garamond" w:hAnsi="Garamond"/>
          <w:bCs/>
          <w:i/>
          <w:iCs/>
        </w:rPr>
        <w:t>acquisto della cittadinanza italiana e prima della data di nascita o di adozione del figlio</w:t>
      </w:r>
      <w:r>
        <w:rPr>
          <w:rFonts w:ascii="Garamond" w:hAnsi="Garamond"/>
          <w:bCs/>
        </w:rPr>
        <w:t>».</w:t>
      </w:r>
    </w:p>
    <w:sdt>
      <w:sdtPr>
        <w:rPr>
          <w:rFonts w:ascii="Garamond" w:hAnsi="Garamond"/>
          <w:bCs/>
        </w:rPr>
        <w:alias w:val="pre_27_03_2025"/>
        <w:tag w:val="pre_27_03_2025"/>
        <w:id w:val="1137227288"/>
        <w:placeholder>
          <w:docPart w:val="DefaultPlaceholder_-1854013440"/>
        </w:placeholder>
        <w:showingPlcHdr/>
        <w:text/>
      </w:sdtPr>
      <w:sdtContent>
        <w:p w:rsidRPr="00D4466B" w:rsidR="000819AD" w:rsidP="000819AD" w:rsidRDefault="00D4466B" w14:paraId="477D8FF5" w14:textId="3EACA579">
          <w:pPr>
            <w:spacing w:after="120" w:line="276" w:lineRule="auto"/>
            <w:jc w:val="both"/>
            <w:rPr>
              <w:rFonts w:ascii="Garamond" w:hAnsi="Garamond"/>
              <w:bCs/>
              <w:i/>
              <w:iCs/>
              <w:lang w:val="en-US"/>
            </w:rPr>
          </w:pPr>
          <w:r w:rsidRPr="00D4466B">
            <w:rPr>
              <w:rStyle w:val="PlaceholderText"/>
              <w:lang w:val="en-US"/>
            </w:rPr>
            <w:t>Quest'ultima norma non si applica dunque al presente ricorso, iscritto a ruolo prima del 27.3.25.</w:t>
          </w:r>
        </w:p>
      </w:sdtContent>
    </w:sdt>
    <w:p w:rsidR="009B4328" w:rsidP="000819AD" w:rsidRDefault="000819AD" w14:paraId="7AC9F5EF" w14:textId="77777777">
      <w:pPr>
        <w:spacing w:after="120" w:line="276" w:lineRule="auto"/>
        <w:jc w:val="both"/>
        <w:rPr>
          <w:rFonts w:ascii="Garamond" w:hAnsi="Garamond"/>
          <w:bCs/>
        </w:rPr>
      </w:pPr>
      <w:r w:rsidRPr="0057614B">
        <w:rPr>
          <w:rFonts w:ascii="Garamond" w:hAnsi="Garamond"/>
          <w:bCs/>
        </w:rPr>
        <w:t>3.4. Con particolare riferimento ai ricorrenti del Brasile, si era posto il problema della c.d. Grande Naturalizzazione, introdotta con decreto del governo sudamericano n. 58 A del 15.12.1889, a norma del quale gli italiani presenti in Brasile al 15.11.1889 avrebbero ottenuto la naturalizzazione automatica brasiliana, a meno che avessero manifestato entro sei mesi, dinanzi ai propri consolati, la volontà di conservare la cittadinanza italiana.</w:t>
      </w:r>
    </w:p>
    <w:p w:rsidR="009B4328" w:rsidP="000819AD" w:rsidRDefault="000819AD" w14:paraId="1EE90E00" w14:textId="77777777">
      <w:pPr>
        <w:spacing w:after="120" w:line="276" w:lineRule="auto"/>
        <w:jc w:val="both"/>
        <w:rPr>
          <w:rFonts w:ascii="Garamond" w:hAnsi="Garamond"/>
          <w:bCs/>
        </w:rPr>
      </w:pPr>
      <w:r w:rsidRPr="0057614B">
        <w:rPr>
          <w:rFonts w:ascii="Garamond" w:hAnsi="Garamond"/>
          <w:bCs/>
        </w:rPr>
        <w:t>La Corte di Cassazione a Sezioni Unite – richiamati gli artt. 3, 4, 16 ss. e 22 Cost., l’art. 15 della Dichiarazione Universale dei Diritti dell’Uomo del 10.12.1948 e il Trattato di Lisbona del 13.12.2007 – ha nondimeno affermato che: «</w:t>
      </w:r>
      <w:r w:rsidRPr="0057614B">
        <w:rPr>
          <w:rFonts w:ascii="Garamond" w:hAnsi="Garamond"/>
          <w:bCs/>
          <w:i/>
          <w:iCs/>
        </w:rPr>
        <w:t xml:space="preserve">Ogni persona ha un diritto soggettivo permanente e imprescrittibile allo stato di cittadino, che congloba distinti ed egualmente fondamentali diritti; ciò rileva anche in relazione all’esegesi delle norme dello </w:t>
      </w:r>
      <w:r w:rsidRPr="0057614B">
        <w:rPr>
          <w:rFonts w:ascii="Garamond" w:hAnsi="Garamond"/>
          <w:bCs/>
          <w:i/>
          <w:iCs/>
        </w:rPr>
        <w:lastRenderedPageBreak/>
        <w:t xml:space="preserve">Stato </w:t>
      </w:r>
      <w:proofErr w:type="spellStart"/>
      <w:r w:rsidRPr="0057614B">
        <w:rPr>
          <w:rFonts w:ascii="Garamond" w:hAnsi="Garamond"/>
          <w:bCs/>
          <w:i/>
          <w:iCs/>
        </w:rPr>
        <w:t>precostituzionale</w:t>
      </w:r>
      <w:proofErr w:type="spellEnd"/>
      <w:r w:rsidRPr="0057614B">
        <w:rPr>
          <w:rFonts w:ascii="Garamond" w:hAnsi="Garamond"/>
          <w:bCs/>
          <w:i/>
          <w:iCs/>
        </w:rPr>
        <w:t>, ove ancora applicabili; il diritto si può perdere per rinuncia, ma purché volontaria ed esplicita, in ossequio alla libertà individuale, e quindi mai per rinunzia tacita, a sua volta desumibile da una qualche forma di accettazione tacita di quella straniera impartita per provvedimento generalizzato di naturalizzazione</w:t>
      </w:r>
      <w:r w:rsidRPr="0057614B">
        <w:rPr>
          <w:rFonts w:ascii="Garamond" w:hAnsi="Garamond"/>
          <w:bCs/>
        </w:rPr>
        <w:t>». Ancor più nello specifico: «</w:t>
      </w:r>
      <w:r w:rsidRPr="0057614B">
        <w:rPr>
          <w:rFonts w:ascii="Garamond" w:hAnsi="Garamond"/>
          <w:bCs/>
          <w:i/>
          <w:iCs/>
        </w:rPr>
        <w:t>L’istituto della perdita della cittadinanza italiana, disciplinato dal codice civile del 1865 e dalla legge n. 555 del 1912, ove inteso in rapporto al fenomeno di cd. grande naturalizzazione degli stranieri presenti in Brasile alla fine dell’Ottocento, implica un’esegesi restrittiva delle norme afferenti, nell’alveo dei sopravvenuti principi costituzionali, essendo quello di cittadinanza annoverabile tra i diritti fondamentali; in questa prospettiva l’art. 11, n. 2, cod. civ. 1865, nello stabilire che la cittadinanza italiana è persa da colui che abbia “ottenuto la cittadinanza in paese estero”, sottintende, per gli effetti sulla linea di trasmissione iure sanguinis ai discendenti, che si accerti il compimento, da parte della persona all’epoca emigrata, di un atto spontaneo e volontario finalizzato all’acquisto della cittadinanza straniera - per esempio integrato da una domanda di iscrizione nelle liste elettorali secondo la legge del luogo -, senza che l’aver stabilito all’estero la residenza, o anche l’aver stabilizzato all’estero la propria condizione di vita, possa considerarsi bastevole, unitamente alla mancata reazione al provvedimento generalizzato di naturalizzazione, a integrare la fattispecie estintiva dello status per accettazione tacita degli effetti di quel provvedimento</w:t>
      </w:r>
      <w:r w:rsidRPr="0057614B">
        <w:rPr>
          <w:rFonts w:ascii="Garamond" w:hAnsi="Garamond"/>
          <w:bCs/>
        </w:rPr>
        <w:t>» (</w:t>
      </w:r>
      <w:proofErr w:type="spellStart"/>
      <w:r w:rsidRPr="0057614B">
        <w:rPr>
          <w:rFonts w:ascii="Garamond" w:hAnsi="Garamond"/>
          <w:bCs/>
        </w:rPr>
        <w:t>sent</w:t>
      </w:r>
      <w:proofErr w:type="spellEnd"/>
      <w:r w:rsidRPr="0057614B">
        <w:rPr>
          <w:rFonts w:ascii="Garamond" w:hAnsi="Garamond"/>
          <w:bCs/>
        </w:rPr>
        <w:t>. n. 25318/22).</w:t>
      </w:r>
    </w:p>
    <w:p w:rsidR="000819AD" w:rsidP="000819AD" w:rsidRDefault="000819AD" w14:paraId="7AF4589E" w14:textId="047F338B">
      <w:pPr>
        <w:spacing w:after="120" w:line="276" w:lineRule="auto"/>
        <w:jc w:val="both"/>
        <w:rPr>
          <w:rFonts w:ascii="Garamond" w:hAnsi="Garamond"/>
          <w:bCs/>
        </w:rPr>
      </w:pPr>
      <w:r w:rsidRPr="0057614B">
        <w:rPr>
          <w:rFonts w:ascii="Garamond" w:hAnsi="Garamond"/>
          <w:bCs/>
        </w:rPr>
        <w:t>Ne consegue che la cittadinanza italiana non sia stata persa nemmeno dagli italiani che, nel richiamato termine, non avessero espressamente dichiarato di volerla conservare.</w:t>
      </w:r>
    </w:p>
    <w:p w:rsidR="000819AD" w:rsidP="000819AD" w:rsidRDefault="000819AD" w14:paraId="0AF89A24" w14:textId="77777777">
      <w:pPr>
        <w:spacing w:after="120" w:line="276" w:lineRule="auto"/>
        <w:jc w:val="both"/>
        <w:rPr>
          <w:rFonts w:ascii="Garamond" w:hAnsi="Garamond"/>
          <w:bCs/>
        </w:rPr>
      </w:pPr>
      <w:r>
        <w:rPr>
          <w:rFonts w:ascii="Garamond" w:hAnsi="Garamond"/>
          <w:bCs/>
        </w:rPr>
        <w:t xml:space="preserve">3.5. La sentenza della Corte di Cassazione a Sezioni Unite n. 25318/22 ha definito inoltre il riparto dell’onere probatorio nei procedimenti per l’accertamento della cittadinanza </w:t>
      </w:r>
      <w:r>
        <w:rPr>
          <w:rFonts w:ascii="Garamond" w:hAnsi="Garamond"/>
          <w:bCs/>
          <w:i/>
          <w:iCs/>
        </w:rPr>
        <w:t>iure sanguinis</w:t>
      </w:r>
      <w:r>
        <w:rPr>
          <w:rFonts w:ascii="Garamond" w:hAnsi="Garamond"/>
          <w:bCs/>
        </w:rPr>
        <w:t>: «</w:t>
      </w:r>
      <w:r>
        <w:rPr>
          <w:rFonts w:ascii="Garamond" w:hAnsi="Garamond"/>
          <w:bCs/>
          <w:i/>
          <w:iCs/>
        </w:rPr>
        <w:t>S</w:t>
      </w:r>
      <w:r w:rsidRPr="00F0399D">
        <w:rPr>
          <w:rFonts w:ascii="Garamond" w:hAnsi="Garamond"/>
          <w:bCs/>
          <w:i/>
          <w:iCs/>
        </w:rPr>
        <w:t>econdo la tradizione giuridica italiana, nel sistema delineato dal codice civile del 1865, dalla successiva legge sulla cittadinanza n. 555 del 1912 e dall’attuale legge n. 91 del 1992, la cittadinanza per fatto di nascita si acquista a titolo originario iure sanguinis, e lo status di cittadino, una volta acquisito, ha natura permanente, è imprescrittibile ed è giustiziabile in ogni tempo in base alla semplice prova della fattispecie acquisitiva integrata dalla nascita da cittadino italiano; a chi richieda il riconoscimento della cittadinanza spetta di provare solo il fatto acquisitivo e la linea di trasmissione, mentre incombe alla controparte, che ne abbia fatto eccezione, la prova dell’eventuale fattispecie interruttiva</w:t>
      </w:r>
      <w:r>
        <w:rPr>
          <w:rFonts w:ascii="Garamond" w:hAnsi="Garamond"/>
          <w:bCs/>
        </w:rPr>
        <w:t>».</w:t>
      </w:r>
    </w:p>
    <w:sdt>
      <w:sdtPr>
        <w:rPr>
          <w:rFonts w:ascii="Garamond" w:hAnsi="Garamond"/>
          <w:bCs/>
        </w:rPr>
        <w:alias w:val="se_minorenni"/>
        <w:tag w:val="se_minorenni"/>
        <w:id w:val="867650624"/>
        <w:placeholder>
          <w:docPart w:val="DefaultPlaceholder_-1854013440"/>
        </w:placeholder>
        <w:showingPlcHdr/>
        <w:text/>
      </w:sdtPr>
      <w:sdtContent>
        <w:p w:rsidRPr="00D4466B" w:rsidR="000819AD" w:rsidP="000819AD" w:rsidRDefault="00D4466B" w14:paraId="7E3E0A8D" w14:textId="2FC63ADD">
          <w:pPr>
            <w:spacing w:after="120" w:line="276" w:lineRule="auto"/>
            <w:jc w:val="both"/>
            <w:rPr>
              <w:rFonts w:ascii="Garamond" w:hAnsi="Garamond"/>
              <w:bCs/>
              <w:lang w:val="en-US"/>
            </w:rPr>
          </w:pPr>
          <w:r w:rsidRPr="00D4466B">
            <w:rPr>
              <w:rStyle w:val="PlaceholderText"/>
              <w:lang w:val="en-US"/>
            </w:rPr>
            <w:t/>
          </w:r>
        </w:p>
      </w:sdtContent>
    </w:sdt>
    <w:p w:rsidR="000819AD" w:rsidP="000819AD" w:rsidRDefault="000819AD" w14:paraId="2D27BB42" w14:textId="77777777">
      <w:pPr>
        <w:spacing w:after="120" w:line="276" w:lineRule="auto"/>
        <w:jc w:val="both"/>
        <w:rPr>
          <w:rFonts w:ascii="Garamond" w:hAnsi="Garamond"/>
          <w:bCs/>
        </w:rPr>
      </w:pPr>
      <w:r>
        <w:rPr>
          <w:rFonts w:ascii="Garamond" w:hAnsi="Garamond"/>
          <w:b/>
        </w:rPr>
        <w:t xml:space="preserve">4. </w:t>
      </w:r>
      <w:r>
        <w:rPr>
          <w:rFonts w:ascii="Garamond" w:hAnsi="Garamond"/>
          <w:bCs/>
        </w:rPr>
        <w:t xml:space="preserve">Nel caso di specie, i ricorrenti – mediante i documenti prodotti, debitamente tradotti e apostillati – hanno provato la linea di discendenza dall’avo </w:t>
      </w:r>
      <w:r w:rsidRPr="00C81268">
        <w:rPr>
          <w:rFonts w:ascii="Garamond" w:hAnsi="Garamond"/>
          <w:bCs/>
        </w:rPr>
        <w:t>e, con il certificato negativo di naturalizzazione, ch’egli non aveva perduto la cittadinanza italiana.</w:t>
      </w:r>
    </w:p>
    <w:sdt>
      <w:sdtPr>
        <w:rPr>
          <w:rFonts w:ascii="Garamond" w:hAnsi="Garamond"/>
          <w:bCs/>
        </w:rPr>
        <w:alias w:val="avvocatura_2"/>
        <w:tag w:val="avvocatura_2"/>
        <w:id w:val="1214765477"/>
        <w:placeholder>
          <w:docPart w:val="DefaultPlaceholder_-1854013440"/>
        </w:placeholder>
        <w:showingPlcHdr/>
        <w:text/>
      </w:sdtPr>
      <w:sdtContent>
        <w:p w:rsidRPr="00D4466B" w:rsidR="009B4328" w:rsidP="000819AD" w:rsidRDefault="00D4466B" w14:paraId="74DDB91B" w14:textId="3A174930">
          <w:pPr>
            <w:spacing w:after="120" w:line="276" w:lineRule="auto"/>
            <w:jc w:val="both"/>
            <w:rPr>
              <w:rFonts w:ascii="Garamond" w:hAnsi="Garamond"/>
              <w:bCs/>
              <w:lang w:val="en-US"/>
            </w:rPr>
          </w:pPr>
          <w:r w:rsidRPr="00D4466B">
            <w:rPr>
              <w:rStyle w:val="PlaceholderText"/>
              <w:lang w:val="en-US"/>
            </w:rPr>
            <w:t>Di contro, il Ministero dell'Interno non si è costituito.</w:t>
          </w:r>
        </w:p>
      </w:sdtContent>
    </w:sdt>
    <w:p w:rsidR="000819AD" w:rsidP="000819AD" w:rsidRDefault="000819AD" w14:paraId="20B2201E" w14:textId="77777777">
      <w:pPr>
        <w:spacing w:after="120" w:line="276" w:lineRule="auto"/>
        <w:jc w:val="both"/>
        <w:rPr>
          <w:rFonts w:ascii="Garamond" w:hAnsi="Garamond"/>
          <w:bCs/>
        </w:rPr>
      </w:pPr>
      <w:r w:rsidRPr="00632B14">
        <w:rPr>
          <w:rFonts w:ascii="Garamond" w:hAnsi="Garamond"/>
          <w:bCs/>
        </w:rPr>
        <w:t xml:space="preserve">Ai sensi dell’art. 2697 c.c., come noto, l’incertezza in ordine a una circostanza ricade sulla parte che aveva l’onere di provarne l’esistenza. Inoltre, nella materia </w:t>
      </w:r>
      <w:r w:rsidRPr="00632B14">
        <w:rPr>
          <w:rFonts w:ascii="Garamond" w:hAnsi="Garamond"/>
          <w:bCs/>
          <w:i/>
          <w:iCs/>
        </w:rPr>
        <w:t>de qua</w:t>
      </w:r>
      <w:r w:rsidRPr="00632B14">
        <w:rPr>
          <w:rFonts w:ascii="Garamond" w:hAnsi="Garamond"/>
          <w:bCs/>
        </w:rPr>
        <w:t>,</w:t>
      </w:r>
      <w:r w:rsidRPr="00632B14">
        <w:rPr>
          <w:rFonts w:ascii="Garamond" w:hAnsi="Garamond"/>
          <w:bCs/>
          <w:i/>
          <w:iCs/>
        </w:rPr>
        <w:t xml:space="preserve"> </w:t>
      </w:r>
      <w:r w:rsidRPr="00632B14">
        <w:rPr>
          <w:rFonts w:ascii="Garamond" w:hAnsi="Garamond"/>
          <w:bCs/>
        </w:rPr>
        <w:t xml:space="preserve">eventuali poteri istruttori d’ufficio potrebbero essere attivati per corroborare la domanda (cfr. Cass. </w:t>
      </w:r>
      <w:proofErr w:type="spellStart"/>
      <w:r w:rsidRPr="00632B14">
        <w:rPr>
          <w:rFonts w:ascii="Garamond" w:hAnsi="Garamond"/>
          <w:bCs/>
        </w:rPr>
        <w:t>n</w:t>
      </w:r>
      <w:r>
        <w:rPr>
          <w:rFonts w:ascii="Garamond" w:hAnsi="Garamond"/>
          <w:bCs/>
        </w:rPr>
        <w:t>n</w:t>
      </w:r>
      <w:proofErr w:type="spellEnd"/>
      <w:r w:rsidRPr="00632B14">
        <w:rPr>
          <w:rFonts w:ascii="Garamond" w:hAnsi="Garamond"/>
          <w:bCs/>
        </w:rPr>
        <w:t>. 41686/21</w:t>
      </w:r>
      <w:r>
        <w:rPr>
          <w:rFonts w:ascii="Garamond" w:hAnsi="Garamond"/>
          <w:bCs/>
        </w:rPr>
        <w:t xml:space="preserve"> e</w:t>
      </w:r>
      <w:r w:rsidRPr="00632B14">
        <w:rPr>
          <w:rFonts w:ascii="Garamond" w:hAnsi="Garamond"/>
          <w:bCs/>
        </w:rPr>
        <w:t xml:space="preserve"> 19428/17) e non certo in modo totalmente esplorativo, al fine di rigettarla.</w:t>
      </w:r>
    </w:p>
    <w:p w:rsidR="000819AD" w:rsidP="000819AD" w:rsidRDefault="000819AD" w14:paraId="6C86E268" w14:textId="77777777">
      <w:pPr>
        <w:spacing w:after="120" w:line="276" w:lineRule="auto"/>
        <w:jc w:val="both"/>
        <w:rPr>
          <w:rFonts w:ascii="Garamond" w:hAnsi="Garamond"/>
          <w:bCs/>
        </w:rPr>
      </w:pPr>
      <w:r>
        <w:rPr>
          <w:rFonts w:ascii="Garamond" w:hAnsi="Garamond"/>
          <w:bCs/>
        </w:rPr>
        <w:t>Pertanto, il ricorso merita accoglimento.</w:t>
      </w:r>
    </w:p>
    <w:sdt>
      <w:sdtPr>
        <w:rPr>
          <w:rFonts w:ascii="Garamond" w:hAnsi="Garamond"/>
          <w:bCs/>
        </w:rPr>
        <w:alias w:val="interventi_4_1"/>
        <w:tag w:val="interventi_4_1"/>
        <w:id w:val="-157159337"/>
        <w:placeholder>
          <w:docPart w:val="DefaultPlaceholder_-1854013440"/>
        </w:placeholder>
        <w:text/>
      </w:sdtPr>
      <w:sdtContent>
        <w:p w:rsidRPr="00055E2F" w:rsidR="000819AD" w:rsidP="000819AD" w:rsidRDefault="000819AD" w14:paraId="0DA8A2E0" w14:textId="4C535E9A">
          <w:pPr>
            <w:spacing w:after="120" w:line="276" w:lineRule="auto"/>
            <w:jc w:val="both"/>
            <w:rPr>
              <w:rFonts w:ascii="Garamond" w:hAnsi="Garamond"/>
              <w:bCs/>
              <w:lang w:val="en-US"/>
            </w:rPr>
          </w:pPr>
          <w:r w:rsidRPr="00055E2F">
            <w:rPr>
              <w:rFonts w:ascii="Garamond" w:hAnsi="Garamond"/>
              <w:bCs/>
            </w:rPr>
            <w:t>4.1. La domanda del terzo intervenuto è inammissibile. L'art. 105 co. 1 c.p.c., infatti, consente l'intervento volontario «in un processo tra altre persone per far valere, in confronto di tutte le parti o di alcune di esse, un diritto relativo all'oggetto o dipendente dal titolo dedotto nel processo medesimo». Nel caso concreto, invece, il terzo ha chiesto di accertare un autonomo diritto allo status di cittadino, non connesso oggettivamente né dipendente da quello dei ricorrenti (cui è accomunato soltanto dall'avo).</w:t>
          </w:r>
          <w:proofErr w:type="spellStart"/>
          <w:proofErr w:type="spellEnd"/>
        </w:p>
      </w:sdtContent>
    </w:sdt>
    <w:sdt>
      <w:sdtPr>
        <w:rPr>
          <w:rFonts w:ascii="Garamond" w:hAnsi="Garamond"/>
          <w:bCs/>
        </w:rPr>
        <w:alias w:val="matrimonio_1"/>
        <w:tag w:val="matrimonio_1"/>
        <w:id w:val="1048565631"/>
        <w:placeholder>
          <w:docPart w:val="DefaultPlaceholder_-1854013440"/>
        </w:placeholder>
        <w:text/>
      </w:sdtPr>
      <w:sdtContent>
        <w:p w:rsidRPr="009B4328" w:rsidR="000819AD" w:rsidP="000819AD" w:rsidRDefault="000819AD" w14:paraId="197D1EDA" w14:textId="5D72FC23">
          <w:pPr>
            <w:spacing w:after="120" w:line="276" w:lineRule="auto"/>
            <w:jc w:val="both"/>
            <w:rPr>
              <w:rFonts w:ascii="Garamond" w:hAnsi="Garamond"/>
              <w:bCs/>
            </w:rPr>
          </w:pPr>
          <w:r w:rsidRPr="00055E2F">
            <w:rPr>
              <w:rFonts w:ascii="Garamond" w:hAnsi="Garamond"/>
              <w:bCs/>
            </w:rPr>
            <w:t/>
          </w:r>
          <w:proofErr w:type="spellStart"/>
          <w:proofErr w:type="spellEnd"/>
        </w:p>
      </w:sdtContent>
    </w:sdt>
    <w:sdt>
      <w:sdtPr>
        <w:rPr>
          <w:rFonts w:ascii="Garamond" w:hAnsi="Garamond"/>
          <w:bCs/>
        </w:rPr>
        <w:alias w:val="matrimonio_2"/>
        <w:tag w:val="matrimonio_2"/>
        <w:id w:val="-140891016"/>
        <w:placeholder>
          <w:docPart w:val="DefaultPlaceholder_-1854013440"/>
        </w:placeholder>
        <w:text/>
      </w:sdtPr>
      <w:sdtContent>
        <w:p w:rsidRPr="004F5C13" w:rsidR="000819AD" w:rsidP="000819AD" w:rsidRDefault="000819AD" w14:paraId="701562DD" w14:textId="00B6B1BE">
          <w:pPr>
            <w:spacing w:after="120" w:line="276" w:lineRule="auto"/>
            <w:jc w:val="both"/>
            <w:rPr>
              <w:rFonts w:ascii="Garamond" w:hAnsi="Garamond"/>
              <w:bCs/>
            </w:rPr>
          </w:pPr>
          <w:r w:rsidRPr="00055E2F">
            <w:rPr>
              <w:rFonts w:ascii="Garamond" w:hAnsi="Garamond"/>
              <w:bCs/>
            </w:rPr>
            <w:t/>
          </w:r>
          <w:proofErr w:type="spellStart"/>
          <w:proofErr w:type="spellEnd"/>
        </w:p>
      </w:sdtContent>
    </w:sdt>
    <w:p w:rsidR="00B819D9" w:rsidP="000819AD" w:rsidRDefault="000819AD" w14:paraId="47121D80" w14:textId="77777777">
      <w:pPr>
        <w:spacing w:after="120" w:line="276" w:lineRule="auto"/>
        <w:jc w:val="both"/>
        <w:rPr>
          <w:rFonts w:ascii="Garamond" w:hAnsi="Garamond"/>
          <w:bCs/>
        </w:rPr>
      </w:pPr>
      <w:r>
        <w:rPr>
          <w:rFonts w:ascii="Garamond" w:hAnsi="Garamond"/>
          <w:b/>
        </w:rPr>
        <w:t>5.</w:t>
      </w:r>
      <w:r>
        <w:rPr>
          <w:rFonts w:ascii="Garamond" w:hAnsi="Garamond"/>
          <w:bCs/>
        </w:rPr>
        <w:t xml:space="preserve"> </w:t>
      </w:r>
      <w:r w:rsidRPr="00344702">
        <w:rPr>
          <w:rFonts w:ascii="Garamond" w:hAnsi="Garamond"/>
          <w:bCs/>
        </w:rPr>
        <w:t>Tenuto conto della peculiarità della materia</w:t>
      </w:r>
      <w:r>
        <w:rPr>
          <w:rFonts w:ascii="Garamond" w:hAnsi="Garamond"/>
          <w:bCs/>
        </w:rPr>
        <w:t xml:space="preserve">, </w:t>
      </w:r>
      <w:r w:rsidRPr="00344702">
        <w:rPr>
          <w:rFonts w:ascii="Garamond" w:hAnsi="Garamond"/>
          <w:bCs/>
        </w:rPr>
        <w:t>della difficile esegesi del dettato normativo</w:t>
      </w:r>
      <w:r>
        <w:rPr>
          <w:rFonts w:ascii="Garamond" w:hAnsi="Garamond"/>
          <w:bCs/>
        </w:rPr>
        <w:t xml:space="preserve"> e della sostanziale non opposizione del resistente, sussistono </w:t>
      </w:r>
      <w:r w:rsidRPr="00344702">
        <w:rPr>
          <w:rFonts w:ascii="Garamond" w:hAnsi="Garamond"/>
          <w:bCs/>
        </w:rPr>
        <w:t xml:space="preserve">giustificati motivi </w:t>
      </w:r>
      <w:r>
        <w:rPr>
          <w:rFonts w:ascii="Garamond" w:hAnsi="Garamond"/>
          <w:bCs/>
        </w:rPr>
        <w:t xml:space="preserve">(cfr. Corte Cost., </w:t>
      </w:r>
      <w:proofErr w:type="spellStart"/>
      <w:r>
        <w:rPr>
          <w:rFonts w:ascii="Garamond" w:hAnsi="Garamond"/>
          <w:bCs/>
        </w:rPr>
        <w:t>sent</w:t>
      </w:r>
      <w:proofErr w:type="spellEnd"/>
      <w:r>
        <w:rPr>
          <w:rFonts w:ascii="Garamond" w:hAnsi="Garamond"/>
          <w:bCs/>
        </w:rPr>
        <w:t xml:space="preserve">. n. 77/18) </w:t>
      </w:r>
      <w:r w:rsidRPr="00344702">
        <w:rPr>
          <w:rFonts w:ascii="Garamond" w:hAnsi="Garamond"/>
          <w:bCs/>
        </w:rPr>
        <w:t>per compensare integralmente le spese di lite</w:t>
      </w:r>
      <w:r>
        <w:rPr>
          <w:rFonts w:ascii="Garamond" w:hAnsi="Garamond"/>
          <w:bCs/>
        </w:rPr>
        <w:t>.</w:t>
      </w:r>
    </w:p>
    <w:sdt>
      <w:sdtPr>
        <w:rPr>
          <w:rFonts w:ascii="Garamond" w:hAnsi="Garamond"/>
          <w:bCs/>
        </w:rPr>
        <w:alias w:val="interventi_e_matrimonio"/>
        <w:tag w:val="interventi_e_matrimonio"/>
        <w:id w:val="2104689668"/>
        <w:placeholder>
          <w:docPart w:val="DefaultPlaceholder_-1854013440"/>
        </w:placeholder>
        <w:text/>
      </w:sdtPr>
      <w:sdtContent>
        <w:p w:rsidR="000819AD" w:rsidP="000819AD" w:rsidRDefault="00E55B31" w14:paraId="7F7EB809" w14:textId="563EB531">
          <w:pPr>
            <w:spacing w:after="120" w:line="276" w:lineRule="auto"/>
            <w:jc w:val="both"/>
            <w:rPr>
              <w:rFonts w:ascii="Garamond" w:hAnsi="Garamond"/>
              <w:bCs/>
            </w:rPr>
          </w:pPr>
          <w:r w:rsidRPr="00E55B31">
            <w:rPr>
              <w:rFonts w:ascii="Garamond" w:hAnsi="Garamond"/>
              <w:bCs/>
            </w:rPr>
            <w:t>Questo vale anche nei confronti delle parti le cui domande sono state dichiarate inammissibili o improcedibili (viste la serialità della questione per l'Avvocatura dello Stato e la natura prettamente formale della sua costituzione).</w:t>
          </w:r>
        </w:p>
      </w:sdtContent>
    </w:sdt>
    <w:p w:rsidRPr="0002510E" w:rsidR="000819AD" w:rsidP="000819AD" w:rsidRDefault="000819AD" w14:paraId="3B6725EF" w14:textId="77777777">
      <w:pPr>
        <w:spacing w:after="120" w:line="276" w:lineRule="auto"/>
        <w:jc w:val="center"/>
        <w:rPr>
          <w:rFonts w:ascii="Garamond" w:hAnsi="Garamond"/>
          <w:b/>
          <w:smallCaps/>
        </w:rPr>
      </w:pPr>
      <w:r w:rsidRPr="0002510E">
        <w:rPr>
          <w:rFonts w:ascii="Garamond" w:hAnsi="Garamond"/>
          <w:b/>
          <w:smallCaps/>
        </w:rPr>
        <w:t>Per Questi Motivi</w:t>
      </w:r>
    </w:p>
    <w:p w:rsidR="000819AD" w:rsidP="000819AD" w:rsidRDefault="000819AD" w14:paraId="7F27149E" w14:textId="77777777">
      <w:pPr>
        <w:spacing w:after="120" w:line="276" w:lineRule="auto"/>
        <w:rPr>
          <w:rFonts w:ascii="Garamond" w:hAnsi="Garamond"/>
          <w:bCs/>
        </w:rPr>
      </w:pPr>
      <w:r w:rsidRPr="0002510E">
        <w:rPr>
          <w:rFonts w:ascii="Garamond" w:hAnsi="Garamond"/>
          <w:bCs/>
        </w:rPr>
        <w:t xml:space="preserve">Il </w:t>
      </w:r>
      <w:r>
        <w:rPr>
          <w:rFonts w:ascii="Garamond" w:hAnsi="Garamond"/>
          <w:bCs/>
        </w:rPr>
        <w:t>Tribunale, definitivamente pronunciando:</w:t>
      </w:r>
    </w:p>
    <w:p w:rsidR="000819AD" w:rsidP="000819AD" w:rsidRDefault="000819AD" w14:paraId="194EE697" w14:textId="77777777">
      <w:pPr>
        <w:spacing w:after="120" w:line="276" w:lineRule="auto"/>
        <w:rPr>
          <w:rFonts w:ascii="Garamond" w:hAnsi="Garamond"/>
          <w:bCs/>
        </w:rPr>
      </w:pPr>
      <w:r w:rsidRPr="00CA6494">
        <w:rPr>
          <w:rFonts w:ascii="Garamond" w:hAnsi="Garamond"/>
          <w:b/>
        </w:rPr>
        <w:t>dichiara</w:t>
      </w:r>
      <w:r>
        <w:rPr>
          <w:rFonts w:ascii="Garamond" w:hAnsi="Garamond"/>
          <w:bCs/>
        </w:rPr>
        <w:t xml:space="preserve"> che:</w:t>
      </w:r>
    </w:p>
    <w:sdt>
      <w:sdtPr>
        <w:rPr>
          <w:rFonts w:ascii="Garamond" w:hAnsi="Garamond"/>
          <w:b/>
        </w:rPr>
        <w:alias w:val="finale_dichiarazione"/>
        <w:tag w:val="finale_dichiarazione"/>
        <w:id w:val="-33361283"/>
        <w:placeholder>
          <w:docPart w:val="DefaultPlaceholder_-1854013440"/>
        </w:placeholder>
        <w:showingPlcHdr/>
        <w:text w:multiLine="1"/>
      </w:sdtPr>
      <w:sdtContent>
        <w:p w:rsidRPr="00055E2F" w:rsidR="00E55B31" w:rsidP="000819AD" w:rsidRDefault="00055E2F" w14:paraId="313C8FF5" w14:textId="45BC18F7">
          <w:pPr>
            <w:spacing w:after="120" w:line="276" w:lineRule="auto"/>
            <w:ind w:left="705"/>
            <w:jc w:val="both"/>
            <w:rPr>
              <w:rFonts w:ascii="Garamond" w:hAnsi="Garamond"/>
              <w:b/>
              <w:lang w:val="en-US"/>
            </w:rPr>
          </w:pPr>
          <w:r w:rsidRPr="00055E2F">
            <w:rPr>
              <w:rStyle w:val="PlaceholderText"/>
              <w:lang w:val="en-US"/>
            </w:rPr>
            <w:t>Mateus Mendes-Souza, nato/a a Santos il 21-02-1966</w:t>
          </w:r>
        </w:p>
      </w:sdtContent>
    </w:sdt>
    <w:p w:rsidR="000819AD" w:rsidP="000819AD" w:rsidRDefault="00B819D9" w14:paraId="6EA622DC" w14:textId="3DF6B59D">
      <w:pPr>
        <w:spacing w:after="120" w:line="276" w:lineRule="auto"/>
        <w:rPr>
          <w:rFonts w:ascii="Garamond" w:hAnsi="Garamond"/>
          <w:bCs/>
        </w:rPr>
      </w:pPr>
      <w:r>
        <w:rPr>
          <w:rFonts w:ascii="Garamond" w:hAnsi="Garamond"/>
          <w:bCs/>
        </w:rPr>
        <w:t xml:space="preserve">con le generalità complete indicate nel </w:t>
      </w:r>
      <w:r w:rsidR="000819AD">
        <w:rPr>
          <w:rFonts w:ascii="Garamond" w:hAnsi="Garamond"/>
          <w:bCs/>
        </w:rPr>
        <w:t xml:space="preserve">ricorso, </w:t>
      </w:r>
      <w:sdt>
        <w:sdtPr>
          <w:rPr>
            <w:rFonts w:ascii="Garamond" w:hAnsi="Garamond"/>
            <w:bCs/>
          </w:rPr>
          <w:alias w:val="cittadini_finale"/>
          <w:tag w:val="cittadini_finale"/>
          <w:id w:val="-525632859"/>
          <w:placeholder>
            <w:docPart w:val="DefaultPlaceholder_-1854013440"/>
          </w:placeholder>
          <w:showingPlcHdr/>
          <w:text/>
        </w:sdtPr>
        <w:sdtContent>
          <w:r w:rsidRPr="00746AEA" w:rsidR="00055E2F">
            <w:rPr>
              <w:rStyle w:val="PlaceholderText"/>
            </w:rPr>
            <w:t>è cittadino italiano</w:t>
          </w:r>
        </w:sdtContent>
      </w:sdt>
      <w:r w:rsidR="000819AD">
        <w:rPr>
          <w:rFonts w:ascii="Garamond" w:hAnsi="Garamond"/>
          <w:bCs/>
        </w:rPr>
        <w:t>;</w:t>
      </w:r>
    </w:p>
    <w:p w:rsidR="000819AD" w:rsidP="000819AD" w:rsidRDefault="000819AD" w14:paraId="769435CD" w14:textId="77777777">
      <w:pPr>
        <w:spacing w:after="120" w:line="276" w:lineRule="auto"/>
        <w:jc w:val="both"/>
        <w:rPr>
          <w:rFonts w:ascii="Garamond" w:hAnsi="Garamond"/>
          <w:bCs/>
        </w:rPr>
      </w:pPr>
      <w:r>
        <w:rPr>
          <w:rFonts w:ascii="Garamond" w:hAnsi="Garamond"/>
          <w:b/>
        </w:rPr>
        <w:t>ordina</w:t>
      </w:r>
      <w:r>
        <w:rPr>
          <w:rFonts w:ascii="Garamond" w:hAnsi="Garamond"/>
          <w:bCs/>
        </w:rPr>
        <w:t xml:space="preserve"> al Ministero dell’Interno e, per esso, al competente Ufficiale dello Stato Civile di procedere agli adempimenti previsti dalla legge, inclusa l’eventuale comunicazione all’Autorità Consolare;</w:t>
      </w:r>
    </w:p>
    <w:sdt>
      <w:sdtPr>
        <w:rPr>
          <w:rFonts w:ascii="Garamond" w:hAnsi="Garamond"/>
          <w:b/>
        </w:rPr>
        <w:alias w:val="intervenuti_finale"/>
        <w:tag w:val="intervenuti_finale"/>
        <w:id w:val="-1523014474"/>
        <w:placeholder>
          <w:docPart w:val="DefaultPlaceholder_-1854013440"/>
        </w:placeholder>
        <w:showingPlcHdr/>
        <w:text/>
      </w:sdtPr>
      <w:sdtContent>
        <w:p w:rsidRPr="00055E2F" w:rsidR="000819AD" w:rsidP="000819AD" w:rsidRDefault="00055E2F" w14:paraId="2EE0EF30" w14:textId="24D1AFE9">
          <w:pPr>
            <w:spacing w:after="120" w:line="276" w:lineRule="auto"/>
            <w:jc w:val="both"/>
            <w:rPr>
              <w:rFonts w:ascii="Garamond" w:hAnsi="Garamond"/>
              <w:bCs/>
              <w:lang w:val="en-US"/>
            </w:rPr>
          </w:pPr>
          <w:r w:rsidRPr="00055E2F">
            <w:rPr>
              <w:rStyle w:val="PlaceholderText"/>
              <w:lang w:val="en-US"/>
            </w:rPr>
            <w:t>dichiara inammissibile la domanda presentata da Renata Araujo, Pedro Lima;</w:t>
          </w:r>
        </w:p>
      </w:sdtContent>
    </w:sdt>
    <w:sdt>
      <w:sdtPr>
        <w:rPr>
          <w:rFonts w:ascii="Garamond" w:hAnsi="Garamond"/>
          <w:b/>
        </w:rPr>
        <w:alias w:val="matrimonio_finale"/>
        <w:tag w:val="matrimonio_finale"/>
        <w:id w:val="200136935"/>
        <w:placeholder>
          <w:docPart w:val="DefaultPlaceholder_-1854013440"/>
        </w:placeholder>
        <w:showingPlcHdr/>
        <w:text/>
      </w:sdtPr>
      <w:sdtContent>
        <w:p w:rsidRPr="00055E2F" w:rsidR="000819AD" w:rsidP="000819AD" w:rsidRDefault="00055E2F" w14:paraId="0644C5B4" w14:textId="5E614772">
          <w:pPr>
            <w:spacing w:after="120" w:line="276" w:lineRule="auto"/>
            <w:jc w:val="both"/>
            <w:rPr>
              <w:rFonts w:ascii="Garamond" w:hAnsi="Garamond"/>
              <w:bCs/>
              <w:lang w:val="en-US"/>
            </w:rPr>
          </w:pPr>
          <w:r w:rsidRPr="00055E2F">
            <w:rPr>
              <w:rStyle w:val="PlaceholderText"/>
              <w:lang w:val="en-US"/>
            </w:rPr>
            <w:t/>
          </w:r>
        </w:p>
      </w:sdtContent>
    </w:sdt>
    <w:p w:rsidR="000819AD" w:rsidP="000819AD" w:rsidRDefault="000819AD" w14:paraId="176145E3" w14:textId="77777777">
      <w:pPr>
        <w:spacing w:after="120" w:line="276" w:lineRule="auto"/>
        <w:rPr>
          <w:rFonts w:ascii="Garamond" w:hAnsi="Garamond"/>
          <w:bCs/>
        </w:rPr>
      </w:pPr>
      <w:r>
        <w:rPr>
          <w:rFonts w:ascii="Garamond" w:hAnsi="Garamond"/>
          <w:b/>
        </w:rPr>
        <w:t>compensa</w:t>
      </w:r>
      <w:r>
        <w:rPr>
          <w:rFonts w:ascii="Garamond" w:hAnsi="Garamond"/>
          <w:bCs/>
        </w:rPr>
        <w:t xml:space="preserve"> per intero le spese di lite, tra tutte le parti.</w:t>
      </w:r>
    </w:p>
    <w:p w:rsidR="00675440" w:rsidP="000819AD" w:rsidRDefault="00675440" w14:paraId="3F1621BE" w14:textId="2F7D9917">
      <w:pPr>
        <w:spacing w:after="120" w:line="276" w:lineRule="auto"/>
        <w:rPr>
          <w:rFonts w:ascii="Garamond" w:hAnsi="Garamond"/>
          <w:bCs/>
        </w:rPr>
      </w:pPr>
      <w:r>
        <w:rPr>
          <w:rFonts w:ascii="Garamond" w:hAnsi="Garamond"/>
          <w:bCs/>
        </w:rPr>
        <w:t xml:space="preserve">Brescia, </w:t>
      </w:r>
      <w:r w:rsidRPr="004974B6">
        <w:rPr>
          <w:rFonts w:ascii="Garamond" w:hAnsi="Garamond"/>
          <w:bCs/>
        </w:rPr>
        <w:fldChar w:fldCharType="begin">
          <w:ffData>
            <w:name w:val="Testo34"/>
            <w:enabled/>
            <w:calcOnExit w:val="0"/>
            <w:textInput/>
          </w:ffData>
        </w:fldChar>
      </w:r>
      <w:r w:rsidRPr="004974B6">
        <w:rPr>
          <w:rFonts w:ascii="Garamond" w:hAnsi="Garamond"/>
          <w:bCs/>
        </w:rPr>
        <w:instrText xml:space="preserve"> FORMTEXT </w:instrText>
      </w:r>
      <w:r w:rsidRPr="004974B6">
        <w:rPr>
          <w:rFonts w:ascii="Garamond" w:hAnsi="Garamond"/>
          <w:bCs/>
        </w:rPr>
      </w:r>
      <w:r w:rsidRPr="004974B6">
        <w:rPr>
          <w:rFonts w:ascii="Garamond" w:hAnsi="Garamond"/>
          <w:bCs/>
        </w:rPr>
        <w:fldChar w:fldCharType="separate"/>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fldChar w:fldCharType="end"/>
      </w:r>
    </w:p>
    <w:p w:rsidR="00675440" w:rsidP="00675440" w:rsidRDefault="00675440" w14:paraId="222A6617" w14:textId="77777777">
      <w:pPr>
        <w:spacing w:after="120" w:line="276" w:lineRule="auto"/>
        <w:jc w:val="center"/>
        <w:rPr>
          <w:rFonts w:ascii="Garamond" w:hAnsi="Garamond"/>
          <w:bCs/>
        </w:rPr>
      </w:pPr>
    </w:p>
    <w:p w:rsidRPr="00675440" w:rsidR="00675440" w:rsidP="00675440" w:rsidRDefault="00675440" w14:paraId="7D1D9B4B" w14:textId="2E30D364">
      <w:pPr>
        <w:spacing w:after="120" w:line="276" w:lineRule="auto"/>
        <w:ind w:left="5664"/>
        <w:jc w:val="center"/>
        <w:rPr>
          <w:rFonts w:ascii="Garamond" w:hAnsi="Garamond"/>
          <w:bCs/>
          <w:i/>
          <w:iCs/>
        </w:rPr>
      </w:pPr>
      <w:r>
        <w:rPr>
          <w:rFonts w:ascii="Garamond" w:hAnsi="Garamond"/>
          <w:bCs/>
        </w:rPr>
        <w:t>Il Giudice</w:t>
      </w:r>
      <w:r>
        <w:rPr>
          <w:rFonts w:ascii="Garamond" w:hAnsi="Garamond"/>
          <w:bCs/>
        </w:rPr>
        <w:br/>
      </w:r>
      <w:r>
        <w:rPr>
          <w:rFonts w:ascii="Garamond" w:hAnsi="Garamond"/>
          <w:bCs/>
          <w:i/>
          <w:iCs/>
        </w:rPr>
        <w:t xml:space="preserve">Dott. </w:t>
      </w:r>
      <w:r w:rsidRPr="00675440">
        <w:rPr>
          <w:rFonts w:ascii="Garamond" w:hAnsi="Garamond"/>
          <w:bCs/>
          <w:i/>
          <w:iCs/>
        </w:rPr>
        <w:fldChar w:fldCharType="begin">
          <w:ffData>
            <w:name w:val="Testo34"/>
            <w:enabled/>
            <w:calcOnExit w:val="0"/>
            <w:textInput/>
          </w:ffData>
        </w:fldChar>
      </w:r>
      <w:r w:rsidRPr="00675440">
        <w:rPr>
          <w:rFonts w:ascii="Garamond" w:hAnsi="Garamond"/>
          <w:bCs/>
          <w:i/>
          <w:iCs/>
        </w:rPr>
        <w:instrText xml:space="preserve"> FORMTEXT </w:instrText>
      </w:r>
      <w:r w:rsidRPr="00675440">
        <w:rPr>
          <w:rFonts w:ascii="Garamond" w:hAnsi="Garamond"/>
          <w:bCs/>
          <w:i/>
          <w:iCs/>
        </w:rPr>
      </w:r>
      <w:r w:rsidRPr="00675440">
        <w:rPr>
          <w:rFonts w:ascii="Garamond" w:hAnsi="Garamond"/>
          <w:bCs/>
          <w:i/>
          <w:iCs/>
        </w:rPr>
        <w:fldChar w:fldCharType="separate"/>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fldChar w:fldCharType="end"/>
      </w:r>
    </w:p>
    <w:sectPr w:rsidRPr="00675440" w:rsidR="00675440" w:rsidSect="002F41D3">
      <w:headerReference w:type="default" r:id="rId8"/>
      <w:footerReference w:type="default" r:id="rId9"/>
      <w:footerReference w:type="first" r:id="rId10"/>
      <w:pgSz w:w="11906" w:h="16838"/>
      <w:pgMar w:top="1134" w:right="1134" w:bottom="1134" w:left="1134" w:header="708"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D85E3" w14:textId="77777777" w:rsidR="00956C5B" w:rsidRDefault="00956C5B" w:rsidP="00E5475D">
      <w:r>
        <w:separator/>
      </w:r>
    </w:p>
  </w:endnote>
  <w:endnote w:type="continuationSeparator" w:id="0">
    <w:p w14:paraId="795C5D34" w14:textId="77777777" w:rsidR="00956C5B" w:rsidRDefault="00956C5B" w:rsidP="00E547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5E0EC1" w:rsidP="00EF0F4B" w:rsidRDefault="005E0EC1" w14:paraId="6604609E"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p>
  <w:p w:rsidR="00E5475D" w:rsidRDefault="00E5475D" w14:paraId="0AF259EF"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EF0F4B" w:rsidP="00EF0F4B" w:rsidRDefault="00EF0F4B" w14:paraId="44266753"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Pr>
        <w:rFonts w:ascii="Garamond" w:hAnsi="Garamond"/>
        <w:b/>
        <w:bCs/>
        <w:sz w:val="20"/>
        <w:szCs w:val="20"/>
      </w:rPr>
      <w:t>3</w:t>
    </w:r>
    <w:r w:rsidRPr="005E0EC1">
      <w:rPr>
        <w:rFonts w:ascii="Garamond" w:hAnsi="Garamond"/>
        <w:b/>
        <w:bCs/>
        <w:sz w:val="20"/>
        <w:szCs w:val="20"/>
      </w:rPr>
      <w:fldChar w:fldCharType="end"/>
    </w:r>
  </w:p>
  <w:p w:rsidR="00EF0F4B" w:rsidRDefault="00EF0F4B" w14:paraId="2B3B0CA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8642D" w14:textId="77777777" w:rsidR="00956C5B" w:rsidRDefault="00956C5B" w:rsidP="00E5475D">
      <w:r>
        <w:separator/>
      </w:r>
    </w:p>
  </w:footnote>
  <w:footnote w:type="continuationSeparator" w:id="0">
    <w:p w14:paraId="00244B03" w14:textId="77777777" w:rsidR="00956C5B" w:rsidRDefault="00956C5B" w:rsidP="00E547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67572" w:rsidR="00E407CD" w:rsidP="00593EB6" w:rsidRDefault="00E407CD" w14:paraId="474A6456" w14:textId="7F5F3F62">
    <w:pPr>
      <w:pStyle w:val="Header"/>
      <w:pBdr>
        <w:bottom w:val="single" w:color="auto" w:sz="8" w:space="1"/>
      </w:pBdr>
      <w:jc w:val="center"/>
      <w:rPr>
        <w:rFonts w:ascii="Garamond" w:hAnsi="Garamond"/>
        <w:i/>
        <w:iCs/>
        <w:sz w:val="22"/>
        <w:szCs w:val="22"/>
      </w:rPr>
    </w:pPr>
    <w:r w:rsidRPr="00C67572">
      <w:rPr>
        <w:rFonts w:ascii="Garamond" w:hAnsi="Garamond"/>
        <w:i/>
        <w:iCs/>
        <w:sz w:val="22"/>
        <w:szCs w:val="22"/>
      </w:rPr>
      <w:t>Tribunale Ordinario di Brescia</w:t>
    </w:r>
  </w:p>
  <w:p w:rsidRPr="00E407CD" w:rsidR="00EF0F4B" w:rsidP="00E407CD" w:rsidRDefault="00EF0F4B" w14:paraId="048D277D" w14:textId="24395A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E7DA5"/>
    <w:multiLevelType w:val="hybridMultilevel"/>
    <w:tmpl w:val="EEE0AF92"/>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E0C192F"/>
    <w:multiLevelType w:val="hybridMultilevel"/>
    <w:tmpl w:val="BF300F3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FC35C61"/>
    <w:multiLevelType w:val="hybridMultilevel"/>
    <w:tmpl w:val="73F28B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55A53B2"/>
    <w:multiLevelType w:val="hybridMultilevel"/>
    <w:tmpl w:val="572451A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8C02C56"/>
    <w:multiLevelType w:val="hybridMultilevel"/>
    <w:tmpl w:val="54EE8A60"/>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B7E5FEC"/>
    <w:multiLevelType w:val="hybridMultilevel"/>
    <w:tmpl w:val="616034D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BC62BDE"/>
    <w:multiLevelType w:val="hybridMultilevel"/>
    <w:tmpl w:val="51B8598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266C3C59"/>
    <w:multiLevelType w:val="hybridMultilevel"/>
    <w:tmpl w:val="ADB8EB0A"/>
    <w:lvl w:ilvl="0" w:tplc="63E84A44">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28674274"/>
    <w:multiLevelType w:val="hybridMultilevel"/>
    <w:tmpl w:val="477A7334"/>
    <w:lvl w:ilvl="0" w:tplc="F9D05D90">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9" w15:restartNumberingAfterBreak="0">
    <w:nsid w:val="2C823673"/>
    <w:multiLevelType w:val="hybridMultilevel"/>
    <w:tmpl w:val="E714A9EA"/>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05A27E5"/>
    <w:multiLevelType w:val="hybridMultilevel"/>
    <w:tmpl w:val="72464588"/>
    <w:lvl w:ilvl="0" w:tplc="04100005">
      <w:start w:val="1"/>
      <w:numFmt w:val="bullet"/>
      <w:lvlText w:val=""/>
      <w:lvlJc w:val="left"/>
      <w:pPr>
        <w:ind w:left="720" w:hanging="360"/>
      </w:pPr>
      <w:rPr>
        <w:rFonts w:ascii="Wingdings" w:hAnsi="Wingdings"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0A32D32"/>
    <w:multiLevelType w:val="hybridMultilevel"/>
    <w:tmpl w:val="082E085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36B8753C"/>
    <w:multiLevelType w:val="hybridMultilevel"/>
    <w:tmpl w:val="41A6FC2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42F20293"/>
    <w:multiLevelType w:val="hybridMultilevel"/>
    <w:tmpl w:val="C926635A"/>
    <w:lvl w:ilvl="0" w:tplc="ADA626C6">
      <w:start w:val="14"/>
      <w:numFmt w:val="bullet"/>
      <w:lvlText w:val="-"/>
      <w:lvlJc w:val="left"/>
      <w:pPr>
        <w:ind w:left="814" w:hanging="360"/>
      </w:pPr>
      <w:rPr>
        <w:rFonts w:ascii="Tahoma" w:eastAsia="Arial Unicode MS" w:hAnsi="Tahoma" w:hint="default"/>
      </w:rPr>
    </w:lvl>
    <w:lvl w:ilvl="1" w:tplc="04100003" w:tentative="1">
      <w:start w:val="1"/>
      <w:numFmt w:val="bullet"/>
      <w:lvlText w:val="o"/>
      <w:lvlJc w:val="left"/>
      <w:pPr>
        <w:ind w:left="1534" w:hanging="360"/>
      </w:pPr>
      <w:rPr>
        <w:rFonts w:ascii="Courier New" w:hAnsi="Courier New" w:hint="default"/>
      </w:rPr>
    </w:lvl>
    <w:lvl w:ilvl="2" w:tplc="04100005" w:tentative="1">
      <w:start w:val="1"/>
      <w:numFmt w:val="bullet"/>
      <w:lvlText w:val=""/>
      <w:lvlJc w:val="left"/>
      <w:pPr>
        <w:ind w:left="2254" w:hanging="360"/>
      </w:pPr>
      <w:rPr>
        <w:rFonts w:ascii="Wingdings" w:hAnsi="Wingdings" w:hint="default"/>
      </w:rPr>
    </w:lvl>
    <w:lvl w:ilvl="3" w:tplc="04100001" w:tentative="1">
      <w:start w:val="1"/>
      <w:numFmt w:val="bullet"/>
      <w:lvlText w:val=""/>
      <w:lvlJc w:val="left"/>
      <w:pPr>
        <w:ind w:left="2974" w:hanging="360"/>
      </w:pPr>
      <w:rPr>
        <w:rFonts w:ascii="Symbol" w:hAnsi="Symbol" w:hint="default"/>
      </w:rPr>
    </w:lvl>
    <w:lvl w:ilvl="4" w:tplc="04100003" w:tentative="1">
      <w:start w:val="1"/>
      <w:numFmt w:val="bullet"/>
      <w:lvlText w:val="o"/>
      <w:lvlJc w:val="left"/>
      <w:pPr>
        <w:ind w:left="3694" w:hanging="360"/>
      </w:pPr>
      <w:rPr>
        <w:rFonts w:ascii="Courier New" w:hAnsi="Courier New" w:hint="default"/>
      </w:rPr>
    </w:lvl>
    <w:lvl w:ilvl="5" w:tplc="04100005" w:tentative="1">
      <w:start w:val="1"/>
      <w:numFmt w:val="bullet"/>
      <w:lvlText w:val=""/>
      <w:lvlJc w:val="left"/>
      <w:pPr>
        <w:ind w:left="4414" w:hanging="360"/>
      </w:pPr>
      <w:rPr>
        <w:rFonts w:ascii="Wingdings" w:hAnsi="Wingdings" w:hint="default"/>
      </w:rPr>
    </w:lvl>
    <w:lvl w:ilvl="6" w:tplc="04100001" w:tentative="1">
      <w:start w:val="1"/>
      <w:numFmt w:val="bullet"/>
      <w:lvlText w:val=""/>
      <w:lvlJc w:val="left"/>
      <w:pPr>
        <w:ind w:left="5134" w:hanging="360"/>
      </w:pPr>
      <w:rPr>
        <w:rFonts w:ascii="Symbol" w:hAnsi="Symbol" w:hint="default"/>
      </w:rPr>
    </w:lvl>
    <w:lvl w:ilvl="7" w:tplc="04100003" w:tentative="1">
      <w:start w:val="1"/>
      <w:numFmt w:val="bullet"/>
      <w:lvlText w:val="o"/>
      <w:lvlJc w:val="left"/>
      <w:pPr>
        <w:ind w:left="5854" w:hanging="360"/>
      </w:pPr>
      <w:rPr>
        <w:rFonts w:ascii="Courier New" w:hAnsi="Courier New" w:hint="default"/>
      </w:rPr>
    </w:lvl>
    <w:lvl w:ilvl="8" w:tplc="04100005" w:tentative="1">
      <w:start w:val="1"/>
      <w:numFmt w:val="bullet"/>
      <w:lvlText w:val=""/>
      <w:lvlJc w:val="left"/>
      <w:pPr>
        <w:ind w:left="6574" w:hanging="360"/>
      </w:pPr>
      <w:rPr>
        <w:rFonts w:ascii="Wingdings" w:hAnsi="Wingdings" w:hint="default"/>
      </w:rPr>
    </w:lvl>
  </w:abstractNum>
  <w:abstractNum w:abstractNumId="14" w15:restartNumberingAfterBreak="0">
    <w:nsid w:val="4D9337A4"/>
    <w:multiLevelType w:val="hybridMultilevel"/>
    <w:tmpl w:val="9BB0246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63796506"/>
    <w:multiLevelType w:val="hybridMultilevel"/>
    <w:tmpl w:val="C1C649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784E1ECA"/>
    <w:multiLevelType w:val="hybridMultilevel"/>
    <w:tmpl w:val="6B9A4D4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634485474">
    <w:abstractNumId w:val="13"/>
  </w:num>
  <w:num w:numId="2" w16cid:durableId="1370257433">
    <w:abstractNumId w:val="16"/>
  </w:num>
  <w:num w:numId="3" w16cid:durableId="2097046827">
    <w:abstractNumId w:val="6"/>
  </w:num>
  <w:num w:numId="4" w16cid:durableId="471875790">
    <w:abstractNumId w:val="5"/>
  </w:num>
  <w:num w:numId="5" w16cid:durableId="803809360">
    <w:abstractNumId w:val="4"/>
  </w:num>
  <w:num w:numId="6" w16cid:durableId="1479612870">
    <w:abstractNumId w:val="2"/>
  </w:num>
  <w:num w:numId="7" w16cid:durableId="34015026">
    <w:abstractNumId w:val="14"/>
  </w:num>
  <w:num w:numId="8" w16cid:durableId="1330720166">
    <w:abstractNumId w:val="9"/>
  </w:num>
  <w:num w:numId="9" w16cid:durableId="264578287">
    <w:abstractNumId w:val="12"/>
  </w:num>
  <w:num w:numId="10" w16cid:durableId="780953133">
    <w:abstractNumId w:val="1"/>
  </w:num>
  <w:num w:numId="11" w16cid:durableId="1345086153">
    <w:abstractNumId w:val="10"/>
  </w:num>
  <w:num w:numId="12" w16cid:durableId="1068772789">
    <w:abstractNumId w:val="8"/>
  </w:num>
  <w:num w:numId="13" w16cid:durableId="884681468">
    <w:abstractNumId w:val="0"/>
  </w:num>
  <w:num w:numId="14" w16cid:durableId="223684845">
    <w:abstractNumId w:val="3"/>
  </w:num>
  <w:num w:numId="15" w16cid:durableId="176694119">
    <w:abstractNumId w:val="11"/>
  </w:num>
  <w:num w:numId="16" w16cid:durableId="1615675139">
    <w:abstractNumId w:val="7"/>
  </w:num>
  <w:num w:numId="17" w16cid:durableId="12290013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C81"/>
    <w:rsid w:val="000059F9"/>
    <w:rsid w:val="000102F9"/>
    <w:rsid w:val="00010F70"/>
    <w:rsid w:val="00011077"/>
    <w:rsid w:val="0001245F"/>
    <w:rsid w:val="00012D71"/>
    <w:rsid w:val="00017AD3"/>
    <w:rsid w:val="000263B9"/>
    <w:rsid w:val="000276C7"/>
    <w:rsid w:val="00044014"/>
    <w:rsid w:val="00046F81"/>
    <w:rsid w:val="00050CD9"/>
    <w:rsid w:val="0005213C"/>
    <w:rsid w:val="000553F3"/>
    <w:rsid w:val="00055E2F"/>
    <w:rsid w:val="00056101"/>
    <w:rsid w:val="0005753E"/>
    <w:rsid w:val="000578E7"/>
    <w:rsid w:val="00062609"/>
    <w:rsid w:val="00067D8D"/>
    <w:rsid w:val="00070983"/>
    <w:rsid w:val="00070CC0"/>
    <w:rsid w:val="00071750"/>
    <w:rsid w:val="00072779"/>
    <w:rsid w:val="000729BE"/>
    <w:rsid w:val="00074997"/>
    <w:rsid w:val="00075212"/>
    <w:rsid w:val="0007582D"/>
    <w:rsid w:val="00076C2A"/>
    <w:rsid w:val="00077F5F"/>
    <w:rsid w:val="00080FD0"/>
    <w:rsid w:val="000819AD"/>
    <w:rsid w:val="000843CA"/>
    <w:rsid w:val="0009385A"/>
    <w:rsid w:val="00095768"/>
    <w:rsid w:val="00095E65"/>
    <w:rsid w:val="0009736E"/>
    <w:rsid w:val="000A1F7B"/>
    <w:rsid w:val="000A394E"/>
    <w:rsid w:val="000A76D9"/>
    <w:rsid w:val="000B5F90"/>
    <w:rsid w:val="000B6AF6"/>
    <w:rsid w:val="000C1640"/>
    <w:rsid w:val="000D055F"/>
    <w:rsid w:val="000D6B79"/>
    <w:rsid w:val="000D7C85"/>
    <w:rsid w:val="000E1281"/>
    <w:rsid w:val="000E3899"/>
    <w:rsid w:val="000E3C1E"/>
    <w:rsid w:val="000F00C7"/>
    <w:rsid w:val="000F7E2A"/>
    <w:rsid w:val="0010088F"/>
    <w:rsid w:val="001141BB"/>
    <w:rsid w:val="0011469E"/>
    <w:rsid w:val="001157DE"/>
    <w:rsid w:val="0011602D"/>
    <w:rsid w:val="001225CE"/>
    <w:rsid w:val="001247A8"/>
    <w:rsid w:val="001309B7"/>
    <w:rsid w:val="00132BDC"/>
    <w:rsid w:val="00133AEB"/>
    <w:rsid w:val="00136DF7"/>
    <w:rsid w:val="001425E2"/>
    <w:rsid w:val="00144787"/>
    <w:rsid w:val="00145288"/>
    <w:rsid w:val="00145524"/>
    <w:rsid w:val="00146493"/>
    <w:rsid w:val="00147FF3"/>
    <w:rsid w:val="0015456D"/>
    <w:rsid w:val="00155563"/>
    <w:rsid w:val="00155A93"/>
    <w:rsid w:val="00156206"/>
    <w:rsid w:val="00162A83"/>
    <w:rsid w:val="0018292D"/>
    <w:rsid w:val="00190733"/>
    <w:rsid w:val="001A004A"/>
    <w:rsid w:val="001A0349"/>
    <w:rsid w:val="001A3A76"/>
    <w:rsid w:val="001A6FBA"/>
    <w:rsid w:val="001C24C8"/>
    <w:rsid w:val="001C28F6"/>
    <w:rsid w:val="001C46A8"/>
    <w:rsid w:val="001C52E1"/>
    <w:rsid w:val="001C560F"/>
    <w:rsid w:val="001C60C9"/>
    <w:rsid w:val="001D2606"/>
    <w:rsid w:val="001D652F"/>
    <w:rsid w:val="001E2646"/>
    <w:rsid w:val="001F2660"/>
    <w:rsid w:val="0020124D"/>
    <w:rsid w:val="00204A5B"/>
    <w:rsid w:val="00207231"/>
    <w:rsid w:val="00212A5B"/>
    <w:rsid w:val="002135D5"/>
    <w:rsid w:val="00214364"/>
    <w:rsid w:val="00215EED"/>
    <w:rsid w:val="00223B38"/>
    <w:rsid w:val="00223F85"/>
    <w:rsid w:val="00230C82"/>
    <w:rsid w:val="00231433"/>
    <w:rsid w:val="002426B4"/>
    <w:rsid w:val="00244500"/>
    <w:rsid w:val="00256CF6"/>
    <w:rsid w:val="00261F32"/>
    <w:rsid w:val="002733AC"/>
    <w:rsid w:val="0027395C"/>
    <w:rsid w:val="0027499C"/>
    <w:rsid w:val="00287BF0"/>
    <w:rsid w:val="00296BE6"/>
    <w:rsid w:val="0029781F"/>
    <w:rsid w:val="002A0C81"/>
    <w:rsid w:val="002A1DDD"/>
    <w:rsid w:val="002A4D88"/>
    <w:rsid w:val="002A4E09"/>
    <w:rsid w:val="002A54B6"/>
    <w:rsid w:val="002B0653"/>
    <w:rsid w:val="002B0E05"/>
    <w:rsid w:val="002B1074"/>
    <w:rsid w:val="002C00E6"/>
    <w:rsid w:val="002C054D"/>
    <w:rsid w:val="002C0686"/>
    <w:rsid w:val="002C31FE"/>
    <w:rsid w:val="002C4B68"/>
    <w:rsid w:val="002C77A8"/>
    <w:rsid w:val="002D32DB"/>
    <w:rsid w:val="002E052B"/>
    <w:rsid w:val="002E0D7B"/>
    <w:rsid w:val="002E13DD"/>
    <w:rsid w:val="002E6EB0"/>
    <w:rsid w:val="002F1622"/>
    <w:rsid w:val="002F3871"/>
    <w:rsid w:val="002F41D3"/>
    <w:rsid w:val="002F6CCC"/>
    <w:rsid w:val="002F716F"/>
    <w:rsid w:val="002F7D93"/>
    <w:rsid w:val="00303F0E"/>
    <w:rsid w:val="00305220"/>
    <w:rsid w:val="00310B05"/>
    <w:rsid w:val="00313F80"/>
    <w:rsid w:val="00315A79"/>
    <w:rsid w:val="00316599"/>
    <w:rsid w:val="00323170"/>
    <w:rsid w:val="003271E0"/>
    <w:rsid w:val="00330A20"/>
    <w:rsid w:val="00340773"/>
    <w:rsid w:val="00340CE4"/>
    <w:rsid w:val="0035004D"/>
    <w:rsid w:val="00350350"/>
    <w:rsid w:val="00352F51"/>
    <w:rsid w:val="00353CBD"/>
    <w:rsid w:val="00356FBC"/>
    <w:rsid w:val="00365D1F"/>
    <w:rsid w:val="0036691A"/>
    <w:rsid w:val="00366944"/>
    <w:rsid w:val="0036798D"/>
    <w:rsid w:val="00371B5B"/>
    <w:rsid w:val="00374CB7"/>
    <w:rsid w:val="0039300F"/>
    <w:rsid w:val="0039694D"/>
    <w:rsid w:val="00396E28"/>
    <w:rsid w:val="00397165"/>
    <w:rsid w:val="003A28F3"/>
    <w:rsid w:val="003A2A19"/>
    <w:rsid w:val="003A6A7C"/>
    <w:rsid w:val="003A6E2A"/>
    <w:rsid w:val="003B288D"/>
    <w:rsid w:val="003B4606"/>
    <w:rsid w:val="003B70FA"/>
    <w:rsid w:val="003B7EFB"/>
    <w:rsid w:val="003C071E"/>
    <w:rsid w:val="003C0EB3"/>
    <w:rsid w:val="003C19B0"/>
    <w:rsid w:val="003C1AF8"/>
    <w:rsid w:val="003C43AF"/>
    <w:rsid w:val="003D1584"/>
    <w:rsid w:val="003D3275"/>
    <w:rsid w:val="003D4EC2"/>
    <w:rsid w:val="003E059D"/>
    <w:rsid w:val="003E0A3A"/>
    <w:rsid w:val="003E1A9E"/>
    <w:rsid w:val="003E398E"/>
    <w:rsid w:val="003E704D"/>
    <w:rsid w:val="003F077F"/>
    <w:rsid w:val="003F0CA0"/>
    <w:rsid w:val="003F45EC"/>
    <w:rsid w:val="003F4C1D"/>
    <w:rsid w:val="003F6949"/>
    <w:rsid w:val="00400424"/>
    <w:rsid w:val="00405EE6"/>
    <w:rsid w:val="0040634D"/>
    <w:rsid w:val="00412975"/>
    <w:rsid w:val="004132EF"/>
    <w:rsid w:val="00420B00"/>
    <w:rsid w:val="00425920"/>
    <w:rsid w:val="00431E3C"/>
    <w:rsid w:val="004410B4"/>
    <w:rsid w:val="00443798"/>
    <w:rsid w:val="00447BE9"/>
    <w:rsid w:val="0045421A"/>
    <w:rsid w:val="004555C1"/>
    <w:rsid w:val="00461093"/>
    <w:rsid w:val="00461BCB"/>
    <w:rsid w:val="00470D6F"/>
    <w:rsid w:val="00475DC0"/>
    <w:rsid w:val="00476011"/>
    <w:rsid w:val="00480236"/>
    <w:rsid w:val="004815EC"/>
    <w:rsid w:val="00482538"/>
    <w:rsid w:val="004826FD"/>
    <w:rsid w:val="004862E0"/>
    <w:rsid w:val="004870F1"/>
    <w:rsid w:val="0049026C"/>
    <w:rsid w:val="00494186"/>
    <w:rsid w:val="00497C73"/>
    <w:rsid w:val="004A0362"/>
    <w:rsid w:val="004A056F"/>
    <w:rsid w:val="004A05F5"/>
    <w:rsid w:val="004A2869"/>
    <w:rsid w:val="004B1ECC"/>
    <w:rsid w:val="004B2835"/>
    <w:rsid w:val="004B45E2"/>
    <w:rsid w:val="004B51BF"/>
    <w:rsid w:val="004C0F93"/>
    <w:rsid w:val="004C7B59"/>
    <w:rsid w:val="004D6900"/>
    <w:rsid w:val="004D6B77"/>
    <w:rsid w:val="004F2FBD"/>
    <w:rsid w:val="004F3D8F"/>
    <w:rsid w:val="004F5D9A"/>
    <w:rsid w:val="00502A22"/>
    <w:rsid w:val="00502D6A"/>
    <w:rsid w:val="0050713B"/>
    <w:rsid w:val="00511CD4"/>
    <w:rsid w:val="00522DC9"/>
    <w:rsid w:val="00523D8F"/>
    <w:rsid w:val="00533377"/>
    <w:rsid w:val="0054035E"/>
    <w:rsid w:val="0054151C"/>
    <w:rsid w:val="00544150"/>
    <w:rsid w:val="00550650"/>
    <w:rsid w:val="005545B8"/>
    <w:rsid w:val="005555E6"/>
    <w:rsid w:val="0055747E"/>
    <w:rsid w:val="005616B1"/>
    <w:rsid w:val="005628C7"/>
    <w:rsid w:val="00562E12"/>
    <w:rsid w:val="0056546B"/>
    <w:rsid w:val="00565ABF"/>
    <w:rsid w:val="00572897"/>
    <w:rsid w:val="00573130"/>
    <w:rsid w:val="0057614B"/>
    <w:rsid w:val="00581F90"/>
    <w:rsid w:val="00590531"/>
    <w:rsid w:val="00591CFD"/>
    <w:rsid w:val="005928BE"/>
    <w:rsid w:val="00593EB6"/>
    <w:rsid w:val="00594EA8"/>
    <w:rsid w:val="00595838"/>
    <w:rsid w:val="005A1820"/>
    <w:rsid w:val="005D14CE"/>
    <w:rsid w:val="005D30F8"/>
    <w:rsid w:val="005D3E95"/>
    <w:rsid w:val="005E0EC1"/>
    <w:rsid w:val="005F1E34"/>
    <w:rsid w:val="005F426C"/>
    <w:rsid w:val="005F7B48"/>
    <w:rsid w:val="006002F7"/>
    <w:rsid w:val="0060354B"/>
    <w:rsid w:val="006059E8"/>
    <w:rsid w:val="006127B9"/>
    <w:rsid w:val="00614210"/>
    <w:rsid w:val="00615929"/>
    <w:rsid w:val="006173ED"/>
    <w:rsid w:val="00620747"/>
    <w:rsid w:val="00623C7B"/>
    <w:rsid w:val="006243F3"/>
    <w:rsid w:val="00625D1B"/>
    <w:rsid w:val="006272FC"/>
    <w:rsid w:val="00636D12"/>
    <w:rsid w:val="00644434"/>
    <w:rsid w:val="00653FFC"/>
    <w:rsid w:val="00656BD5"/>
    <w:rsid w:val="00657478"/>
    <w:rsid w:val="006642AC"/>
    <w:rsid w:val="00667D39"/>
    <w:rsid w:val="006717EB"/>
    <w:rsid w:val="006722CA"/>
    <w:rsid w:val="0067349E"/>
    <w:rsid w:val="00674F4C"/>
    <w:rsid w:val="00675440"/>
    <w:rsid w:val="00676871"/>
    <w:rsid w:val="00680401"/>
    <w:rsid w:val="00680B34"/>
    <w:rsid w:val="00683305"/>
    <w:rsid w:val="00691F36"/>
    <w:rsid w:val="006927B9"/>
    <w:rsid w:val="00692EFA"/>
    <w:rsid w:val="00693AEB"/>
    <w:rsid w:val="0069420C"/>
    <w:rsid w:val="00695C20"/>
    <w:rsid w:val="006A7917"/>
    <w:rsid w:val="006B384D"/>
    <w:rsid w:val="006B655C"/>
    <w:rsid w:val="006B725A"/>
    <w:rsid w:val="006B7A40"/>
    <w:rsid w:val="006C09C4"/>
    <w:rsid w:val="006C2CEB"/>
    <w:rsid w:val="006C53B0"/>
    <w:rsid w:val="006D13FC"/>
    <w:rsid w:val="006D7395"/>
    <w:rsid w:val="006E16B1"/>
    <w:rsid w:val="006E4110"/>
    <w:rsid w:val="006F15A0"/>
    <w:rsid w:val="006F1F6E"/>
    <w:rsid w:val="006F4443"/>
    <w:rsid w:val="006F5933"/>
    <w:rsid w:val="006F695C"/>
    <w:rsid w:val="00702EA8"/>
    <w:rsid w:val="007044BE"/>
    <w:rsid w:val="00705BB9"/>
    <w:rsid w:val="00713215"/>
    <w:rsid w:val="00714731"/>
    <w:rsid w:val="00720C24"/>
    <w:rsid w:val="007267A6"/>
    <w:rsid w:val="0073085A"/>
    <w:rsid w:val="007353D7"/>
    <w:rsid w:val="007372C5"/>
    <w:rsid w:val="007402CB"/>
    <w:rsid w:val="0074101D"/>
    <w:rsid w:val="00742643"/>
    <w:rsid w:val="007426C8"/>
    <w:rsid w:val="00742DD9"/>
    <w:rsid w:val="00743725"/>
    <w:rsid w:val="0074529A"/>
    <w:rsid w:val="00745745"/>
    <w:rsid w:val="00747E3D"/>
    <w:rsid w:val="00755934"/>
    <w:rsid w:val="00755987"/>
    <w:rsid w:val="00760E42"/>
    <w:rsid w:val="0076168C"/>
    <w:rsid w:val="007644FE"/>
    <w:rsid w:val="00795579"/>
    <w:rsid w:val="007969CB"/>
    <w:rsid w:val="007A11B8"/>
    <w:rsid w:val="007A35CD"/>
    <w:rsid w:val="007A4076"/>
    <w:rsid w:val="007C057A"/>
    <w:rsid w:val="007C11B5"/>
    <w:rsid w:val="007D106E"/>
    <w:rsid w:val="007D2150"/>
    <w:rsid w:val="007D79EA"/>
    <w:rsid w:val="007E24DD"/>
    <w:rsid w:val="007E34C9"/>
    <w:rsid w:val="0080303F"/>
    <w:rsid w:val="008033F9"/>
    <w:rsid w:val="0080393D"/>
    <w:rsid w:val="00805B73"/>
    <w:rsid w:val="0081035C"/>
    <w:rsid w:val="0081405F"/>
    <w:rsid w:val="0081421A"/>
    <w:rsid w:val="008152C5"/>
    <w:rsid w:val="008163CA"/>
    <w:rsid w:val="008231C5"/>
    <w:rsid w:val="00823393"/>
    <w:rsid w:val="00833E40"/>
    <w:rsid w:val="00843060"/>
    <w:rsid w:val="00852E6A"/>
    <w:rsid w:val="00862019"/>
    <w:rsid w:val="00863E90"/>
    <w:rsid w:val="00870C17"/>
    <w:rsid w:val="00872708"/>
    <w:rsid w:val="00873BCA"/>
    <w:rsid w:val="00881052"/>
    <w:rsid w:val="00884CC9"/>
    <w:rsid w:val="00885548"/>
    <w:rsid w:val="0089118F"/>
    <w:rsid w:val="00892404"/>
    <w:rsid w:val="008A34F8"/>
    <w:rsid w:val="008B611C"/>
    <w:rsid w:val="008C396D"/>
    <w:rsid w:val="008C3B34"/>
    <w:rsid w:val="008C3C0A"/>
    <w:rsid w:val="008C45CA"/>
    <w:rsid w:val="008C53EA"/>
    <w:rsid w:val="008C662C"/>
    <w:rsid w:val="008D1ABB"/>
    <w:rsid w:val="008D2D7B"/>
    <w:rsid w:val="008D400E"/>
    <w:rsid w:val="008D53BE"/>
    <w:rsid w:val="008E2B90"/>
    <w:rsid w:val="008E5120"/>
    <w:rsid w:val="009004B2"/>
    <w:rsid w:val="00902DFA"/>
    <w:rsid w:val="00905820"/>
    <w:rsid w:val="00905D66"/>
    <w:rsid w:val="0092532F"/>
    <w:rsid w:val="009302E7"/>
    <w:rsid w:val="009311DB"/>
    <w:rsid w:val="00931BFF"/>
    <w:rsid w:val="009359EE"/>
    <w:rsid w:val="00937538"/>
    <w:rsid w:val="009472AF"/>
    <w:rsid w:val="0094792E"/>
    <w:rsid w:val="00953F6D"/>
    <w:rsid w:val="00956C5B"/>
    <w:rsid w:val="009601B3"/>
    <w:rsid w:val="00963F93"/>
    <w:rsid w:val="00964ADE"/>
    <w:rsid w:val="00965137"/>
    <w:rsid w:val="00965EF7"/>
    <w:rsid w:val="00966038"/>
    <w:rsid w:val="00977D13"/>
    <w:rsid w:val="00982285"/>
    <w:rsid w:val="00983271"/>
    <w:rsid w:val="00983F1F"/>
    <w:rsid w:val="00984E46"/>
    <w:rsid w:val="00985C08"/>
    <w:rsid w:val="009866B7"/>
    <w:rsid w:val="009A03F5"/>
    <w:rsid w:val="009A1C98"/>
    <w:rsid w:val="009A2DF1"/>
    <w:rsid w:val="009A2E33"/>
    <w:rsid w:val="009A3D6D"/>
    <w:rsid w:val="009A46FB"/>
    <w:rsid w:val="009A5D96"/>
    <w:rsid w:val="009B4328"/>
    <w:rsid w:val="009B45CF"/>
    <w:rsid w:val="009C5746"/>
    <w:rsid w:val="009C76B8"/>
    <w:rsid w:val="009D1218"/>
    <w:rsid w:val="009D2E50"/>
    <w:rsid w:val="009D44CE"/>
    <w:rsid w:val="009D7364"/>
    <w:rsid w:val="009F1A36"/>
    <w:rsid w:val="009F285C"/>
    <w:rsid w:val="009F5EA1"/>
    <w:rsid w:val="00A0041B"/>
    <w:rsid w:val="00A03950"/>
    <w:rsid w:val="00A05E93"/>
    <w:rsid w:val="00A12AF6"/>
    <w:rsid w:val="00A14109"/>
    <w:rsid w:val="00A20B9E"/>
    <w:rsid w:val="00A26124"/>
    <w:rsid w:val="00A334F4"/>
    <w:rsid w:val="00A34B13"/>
    <w:rsid w:val="00A3566A"/>
    <w:rsid w:val="00A36367"/>
    <w:rsid w:val="00A47F6A"/>
    <w:rsid w:val="00A50BC3"/>
    <w:rsid w:val="00A55467"/>
    <w:rsid w:val="00A679FA"/>
    <w:rsid w:val="00A67C78"/>
    <w:rsid w:val="00A67C9B"/>
    <w:rsid w:val="00A67E61"/>
    <w:rsid w:val="00A8409B"/>
    <w:rsid w:val="00A93199"/>
    <w:rsid w:val="00A93F9C"/>
    <w:rsid w:val="00A954E9"/>
    <w:rsid w:val="00AA46D0"/>
    <w:rsid w:val="00AA7CE7"/>
    <w:rsid w:val="00AA7F89"/>
    <w:rsid w:val="00AB4A4C"/>
    <w:rsid w:val="00AC3AAF"/>
    <w:rsid w:val="00AC765B"/>
    <w:rsid w:val="00AD1747"/>
    <w:rsid w:val="00AD28AF"/>
    <w:rsid w:val="00AD3E4A"/>
    <w:rsid w:val="00AE4BE7"/>
    <w:rsid w:val="00AE707C"/>
    <w:rsid w:val="00AE7811"/>
    <w:rsid w:val="00AF029D"/>
    <w:rsid w:val="00AF303C"/>
    <w:rsid w:val="00AF56A5"/>
    <w:rsid w:val="00AF63C6"/>
    <w:rsid w:val="00B02656"/>
    <w:rsid w:val="00B1042C"/>
    <w:rsid w:val="00B16C89"/>
    <w:rsid w:val="00B16E45"/>
    <w:rsid w:val="00B31E22"/>
    <w:rsid w:val="00B3473E"/>
    <w:rsid w:val="00B44509"/>
    <w:rsid w:val="00B46357"/>
    <w:rsid w:val="00B50C6F"/>
    <w:rsid w:val="00B5428E"/>
    <w:rsid w:val="00B54520"/>
    <w:rsid w:val="00B56F2A"/>
    <w:rsid w:val="00B57887"/>
    <w:rsid w:val="00B6631E"/>
    <w:rsid w:val="00B74036"/>
    <w:rsid w:val="00B752EE"/>
    <w:rsid w:val="00B753CF"/>
    <w:rsid w:val="00B80DB5"/>
    <w:rsid w:val="00B8102B"/>
    <w:rsid w:val="00B819D9"/>
    <w:rsid w:val="00B86B97"/>
    <w:rsid w:val="00B86DA2"/>
    <w:rsid w:val="00B92877"/>
    <w:rsid w:val="00B93098"/>
    <w:rsid w:val="00B94B22"/>
    <w:rsid w:val="00B97AFC"/>
    <w:rsid w:val="00BA2D8C"/>
    <w:rsid w:val="00BA635D"/>
    <w:rsid w:val="00BA664E"/>
    <w:rsid w:val="00BA6DE5"/>
    <w:rsid w:val="00BB6371"/>
    <w:rsid w:val="00BD0F65"/>
    <w:rsid w:val="00BD1CAC"/>
    <w:rsid w:val="00BD3933"/>
    <w:rsid w:val="00BD71BD"/>
    <w:rsid w:val="00BE3F3B"/>
    <w:rsid w:val="00BF0B0C"/>
    <w:rsid w:val="00BF243B"/>
    <w:rsid w:val="00BF7AF3"/>
    <w:rsid w:val="00C02E28"/>
    <w:rsid w:val="00C02F3C"/>
    <w:rsid w:val="00C03BE5"/>
    <w:rsid w:val="00C048A3"/>
    <w:rsid w:val="00C04DC8"/>
    <w:rsid w:val="00C07B04"/>
    <w:rsid w:val="00C22080"/>
    <w:rsid w:val="00C261CF"/>
    <w:rsid w:val="00C327C2"/>
    <w:rsid w:val="00C34424"/>
    <w:rsid w:val="00C358C6"/>
    <w:rsid w:val="00C36B8F"/>
    <w:rsid w:val="00C36FFF"/>
    <w:rsid w:val="00C37CD2"/>
    <w:rsid w:val="00C4177E"/>
    <w:rsid w:val="00C422E5"/>
    <w:rsid w:val="00C42325"/>
    <w:rsid w:val="00C47A51"/>
    <w:rsid w:val="00C54309"/>
    <w:rsid w:val="00C56799"/>
    <w:rsid w:val="00C60835"/>
    <w:rsid w:val="00C60C76"/>
    <w:rsid w:val="00C707FA"/>
    <w:rsid w:val="00C74401"/>
    <w:rsid w:val="00C812F8"/>
    <w:rsid w:val="00C87694"/>
    <w:rsid w:val="00C9305D"/>
    <w:rsid w:val="00C95401"/>
    <w:rsid w:val="00C95E70"/>
    <w:rsid w:val="00C97BD0"/>
    <w:rsid w:val="00CA5848"/>
    <w:rsid w:val="00CA6B14"/>
    <w:rsid w:val="00CA7B8F"/>
    <w:rsid w:val="00CC13F9"/>
    <w:rsid w:val="00CC1A65"/>
    <w:rsid w:val="00CC1D0D"/>
    <w:rsid w:val="00CC3D14"/>
    <w:rsid w:val="00CD2775"/>
    <w:rsid w:val="00CD3C40"/>
    <w:rsid w:val="00CD5F72"/>
    <w:rsid w:val="00CD668C"/>
    <w:rsid w:val="00CD7546"/>
    <w:rsid w:val="00CE3FC3"/>
    <w:rsid w:val="00CE7E5F"/>
    <w:rsid w:val="00CF01C6"/>
    <w:rsid w:val="00CF15DB"/>
    <w:rsid w:val="00CF2C8D"/>
    <w:rsid w:val="00CF35F9"/>
    <w:rsid w:val="00CF3AA2"/>
    <w:rsid w:val="00D05270"/>
    <w:rsid w:val="00D11061"/>
    <w:rsid w:val="00D177CC"/>
    <w:rsid w:val="00D22723"/>
    <w:rsid w:val="00D27781"/>
    <w:rsid w:val="00D3095D"/>
    <w:rsid w:val="00D32443"/>
    <w:rsid w:val="00D37926"/>
    <w:rsid w:val="00D43605"/>
    <w:rsid w:val="00D4466B"/>
    <w:rsid w:val="00D466A3"/>
    <w:rsid w:val="00D51972"/>
    <w:rsid w:val="00D52945"/>
    <w:rsid w:val="00D55933"/>
    <w:rsid w:val="00D55BC4"/>
    <w:rsid w:val="00D64C7C"/>
    <w:rsid w:val="00D6588A"/>
    <w:rsid w:val="00D66BE0"/>
    <w:rsid w:val="00D72259"/>
    <w:rsid w:val="00D755A2"/>
    <w:rsid w:val="00D81B57"/>
    <w:rsid w:val="00D8277E"/>
    <w:rsid w:val="00D92E8E"/>
    <w:rsid w:val="00D9324E"/>
    <w:rsid w:val="00D945B1"/>
    <w:rsid w:val="00D947DB"/>
    <w:rsid w:val="00DA2562"/>
    <w:rsid w:val="00DA2B45"/>
    <w:rsid w:val="00DA3383"/>
    <w:rsid w:val="00DA3C62"/>
    <w:rsid w:val="00DA4C3C"/>
    <w:rsid w:val="00DB3CEB"/>
    <w:rsid w:val="00DB48EE"/>
    <w:rsid w:val="00DB4D3A"/>
    <w:rsid w:val="00DB6167"/>
    <w:rsid w:val="00DB7B60"/>
    <w:rsid w:val="00DC0DC7"/>
    <w:rsid w:val="00DC15D8"/>
    <w:rsid w:val="00DC1694"/>
    <w:rsid w:val="00DC592B"/>
    <w:rsid w:val="00DC5F74"/>
    <w:rsid w:val="00DC7CF4"/>
    <w:rsid w:val="00DD30F0"/>
    <w:rsid w:val="00DD36D6"/>
    <w:rsid w:val="00DD3B22"/>
    <w:rsid w:val="00DE0831"/>
    <w:rsid w:val="00DE586B"/>
    <w:rsid w:val="00DF1052"/>
    <w:rsid w:val="00DF3B51"/>
    <w:rsid w:val="00DF6ACD"/>
    <w:rsid w:val="00E04573"/>
    <w:rsid w:val="00E07413"/>
    <w:rsid w:val="00E129AF"/>
    <w:rsid w:val="00E143AA"/>
    <w:rsid w:val="00E14F64"/>
    <w:rsid w:val="00E20A1A"/>
    <w:rsid w:val="00E20CFA"/>
    <w:rsid w:val="00E22CA0"/>
    <w:rsid w:val="00E307CB"/>
    <w:rsid w:val="00E30C96"/>
    <w:rsid w:val="00E34528"/>
    <w:rsid w:val="00E37395"/>
    <w:rsid w:val="00E407CD"/>
    <w:rsid w:val="00E4183A"/>
    <w:rsid w:val="00E435F8"/>
    <w:rsid w:val="00E43E8A"/>
    <w:rsid w:val="00E4490F"/>
    <w:rsid w:val="00E45286"/>
    <w:rsid w:val="00E50BD1"/>
    <w:rsid w:val="00E5475D"/>
    <w:rsid w:val="00E55B31"/>
    <w:rsid w:val="00E74B1D"/>
    <w:rsid w:val="00E7577D"/>
    <w:rsid w:val="00E856E0"/>
    <w:rsid w:val="00E92185"/>
    <w:rsid w:val="00E972EF"/>
    <w:rsid w:val="00E9788D"/>
    <w:rsid w:val="00EA025D"/>
    <w:rsid w:val="00EA18C9"/>
    <w:rsid w:val="00EA511D"/>
    <w:rsid w:val="00EA5F91"/>
    <w:rsid w:val="00EA6063"/>
    <w:rsid w:val="00EA6425"/>
    <w:rsid w:val="00EB2269"/>
    <w:rsid w:val="00EB4435"/>
    <w:rsid w:val="00ED333B"/>
    <w:rsid w:val="00ED522C"/>
    <w:rsid w:val="00ED7FC1"/>
    <w:rsid w:val="00EE0F8A"/>
    <w:rsid w:val="00EE3618"/>
    <w:rsid w:val="00EF0757"/>
    <w:rsid w:val="00EF0F4B"/>
    <w:rsid w:val="00EF1036"/>
    <w:rsid w:val="00F12EB2"/>
    <w:rsid w:val="00F13FF3"/>
    <w:rsid w:val="00F1750C"/>
    <w:rsid w:val="00F23E2C"/>
    <w:rsid w:val="00F31782"/>
    <w:rsid w:val="00F31B62"/>
    <w:rsid w:val="00F3240F"/>
    <w:rsid w:val="00F37013"/>
    <w:rsid w:val="00F41091"/>
    <w:rsid w:val="00F45B5E"/>
    <w:rsid w:val="00F47268"/>
    <w:rsid w:val="00F47CB6"/>
    <w:rsid w:val="00F5497D"/>
    <w:rsid w:val="00F5521D"/>
    <w:rsid w:val="00F7133A"/>
    <w:rsid w:val="00F72B7F"/>
    <w:rsid w:val="00F80524"/>
    <w:rsid w:val="00F82CB7"/>
    <w:rsid w:val="00F83E49"/>
    <w:rsid w:val="00F84C3D"/>
    <w:rsid w:val="00F86A11"/>
    <w:rsid w:val="00F86E47"/>
    <w:rsid w:val="00F90EEB"/>
    <w:rsid w:val="00F91069"/>
    <w:rsid w:val="00F91998"/>
    <w:rsid w:val="00F9574E"/>
    <w:rsid w:val="00F97137"/>
    <w:rsid w:val="00FA2F9A"/>
    <w:rsid w:val="00FB0037"/>
    <w:rsid w:val="00FC669F"/>
    <w:rsid w:val="00FD02FD"/>
    <w:rsid w:val="00FD57F3"/>
    <w:rsid w:val="00FE12B0"/>
    <w:rsid w:val="00FE1A64"/>
    <w:rsid w:val="00FE5C52"/>
    <w:rsid w:val="00FF35EC"/>
    <w:rsid w:val="00FF6CE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1BDCB9"/>
  <w15:chartTrackingRefBased/>
  <w15:docId w15:val="{815020E9-260A-4B45-8A13-995252FF9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C81"/>
    <w:pPr>
      <w:widowControl w:val="0"/>
      <w:suppressAutoHyphens/>
    </w:pPr>
    <w:rPr>
      <w:rFonts w:ascii="Times New Roman" w:eastAsia="Arial Unicode MS" w:hAnsi="Times New Roman"/>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2A0C81"/>
    <w:pPr>
      <w:ind w:left="720"/>
      <w:contextualSpacing/>
    </w:pPr>
    <w:rPr>
      <w:lang w:eastAsia="it-IT"/>
    </w:rPr>
  </w:style>
  <w:style w:type="paragraph" w:styleId="BalloonText">
    <w:name w:val="Balloon Text"/>
    <w:basedOn w:val="Normal"/>
    <w:link w:val="BalloonTextChar"/>
    <w:uiPriority w:val="99"/>
    <w:semiHidden/>
    <w:unhideWhenUsed/>
    <w:rsid w:val="002A0C81"/>
    <w:rPr>
      <w:rFonts w:ascii="Tahoma" w:hAnsi="Tahoma" w:cs="Tahoma"/>
      <w:sz w:val="16"/>
      <w:szCs w:val="16"/>
    </w:rPr>
  </w:style>
  <w:style w:type="character" w:customStyle="1" w:styleId="BalloonTextChar">
    <w:name w:val="Balloon Text Char"/>
    <w:link w:val="BalloonText"/>
    <w:uiPriority w:val="99"/>
    <w:semiHidden/>
    <w:rsid w:val="002A0C81"/>
    <w:rPr>
      <w:rFonts w:ascii="Tahoma" w:eastAsia="Arial Unicode MS" w:hAnsi="Tahoma" w:cs="Tahoma"/>
      <w:sz w:val="16"/>
      <w:szCs w:val="16"/>
    </w:rPr>
  </w:style>
  <w:style w:type="table" w:styleId="TableGrid">
    <w:name w:val="Table Grid"/>
    <w:basedOn w:val="TableNormal"/>
    <w:uiPriority w:val="59"/>
    <w:rsid w:val="004B51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5475D"/>
    <w:pPr>
      <w:tabs>
        <w:tab w:val="center" w:pos="4819"/>
        <w:tab w:val="right" w:pos="9638"/>
      </w:tabs>
    </w:pPr>
  </w:style>
  <w:style w:type="character" w:customStyle="1" w:styleId="HeaderChar">
    <w:name w:val="Header Char"/>
    <w:link w:val="Header"/>
    <w:uiPriority w:val="99"/>
    <w:rsid w:val="00E5475D"/>
    <w:rPr>
      <w:rFonts w:ascii="Times New Roman" w:eastAsia="Arial Unicode MS" w:hAnsi="Times New Roman"/>
      <w:sz w:val="24"/>
      <w:szCs w:val="24"/>
      <w:lang w:eastAsia="en-US"/>
    </w:rPr>
  </w:style>
  <w:style w:type="paragraph" w:styleId="Footer">
    <w:name w:val="footer"/>
    <w:basedOn w:val="Normal"/>
    <w:link w:val="FooterChar"/>
    <w:uiPriority w:val="99"/>
    <w:unhideWhenUsed/>
    <w:rsid w:val="00E5475D"/>
    <w:pPr>
      <w:tabs>
        <w:tab w:val="center" w:pos="4819"/>
        <w:tab w:val="right" w:pos="9638"/>
      </w:tabs>
    </w:pPr>
  </w:style>
  <w:style w:type="character" w:customStyle="1" w:styleId="FooterChar">
    <w:name w:val="Footer Char"/>
    <w:link w:val="Footer"/>
    <w:uiPriority w:val="99"/>
    <w:rsid w:val="00E5475D"/>
    <w:rPr>
      <w:rFonts w:ascii="Times New Roman" w:eastAsia="Arial Unicode MS" w:hAnsi="Times New Roman"/>
      <w:sz w:val="24"/>
      <w:szCs w:val="24"/>
      <w:lang w:eastAsia="en-US"/>
    </w:rPr>
  </w:style>
  <w:style w:type="character" w:styleId="CommentReference">
    <w:name w:val="annotation reference"/>
    <w:basedOn w:val="DefaultParagraphFont"/>
    <w:uiPriority w:val="99"/>
    <w:semiHidden/>
    <w:unhideWhenUsed/>
    <w:rsid w:val="002F6CCC"/>
    <w:rPr>
      <w:sz w:val="16"/>
      <w:szCs w:val="16"/>
    </w:rPr>
  </w:style>
  <w:style w:type="paragraph" w:styleId="CommentText">
    <w:name w:val="annotation text"/>
    <w:basedOn w:val="Normal"/>
    <w:link w:val="CommentTextChar"/>
    <w:uiPriority w:val="99"/>
    <w:unhideWhenUsed/>
    <w:rsid w:val="002F6CCC"/>
    <w:rPr>
      <w:sz w:val="20"/>
      <w:szCs w:val="20"/>
    </w:rPr>
  </w:style>
  <w:style w:type="character" w:customStyle="1" w:styleId="CommentTextChar">
    <w:name w:val="Comment Text Char"/>
    <w:basedOn w:val="DefaultParagraphFont"/>
    <w:link w:val="CommentText"/>
    <w:uiPriority w:val="99"/>
    <w:rsid w:val="002F6CCC"/>
    <w:rPr>
      <w:rFonts w:ascii="Times New Roman" w:eastAsia="Arial Unicode MS" w:hAnsi="Times New Roman"/>
      <w:lang w:eastAsia="en-US"/>
    </w:rPr>
  </w:style>
  <w:style w:type="paragraph" w:styleId="CommentSubject">
    <w:name w:val="annotation subject"/>
    <w:basedOn w:val="CommentText"/>
    <w:next w:val="CommentText"/>
    <w:link w:val="CommentSubjectChar"/>
    <w:uiPriority w:val="99"/>
    <w:semiHidden/>
    <w:unhideWhenUsed/>
    <w:rsid w:val="002F6CCC"/>
    <w:rPr>
      <w:b/>
      <w:bCs/>
    </w:rPr>
  </w:style>
  <w:style w:type="character" w:customStyle="1" w:styleId="CommentSubjectChar">
    <w:name w:val="Comment Subject Char"/>
    <w:basedOn w:val="CommentTextChar"/>
    <w:link w:val="CommentSubject"/>
    <w:uiPriority w:val="99"/>
    <w:semiHidden/>
    <w:rsid w:val="002F6CCC"/>
    <w:rPr>
      <w:rFonts w:ascii="Times New Roman" w:eastAsia="Arial Unicode MS" w:hAnsi="Times New Roman"/>
      <w:b/>
      <w:bCs/>
      <w:lang w:eastAsia="en-US"/>
    </w:rPr>
  </w:style>
  <w:style w:type="character" w:styleId="PlaceholderText">
    <w:name w:val="Placeholder Text"/>
    <w:basedOn w:val="DefaultParagraphFont"/>
    <w:uiPriority w:val="99"/>
    <w:semiHidden/>
    <w:rsid w:val="007353D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eader" Target="/word/header1.xml" Id="rId8" /><Relationship Type="http://schemas.openxmlformats.org/officeDocument/2006/relationships/theme" Target="/word/theme/theme1.xml" Id="rId13" /><Relationship Type="http://schemas.openxmlformats.org/officeDocument/2006/relationships/settings" Target="/word/settings.xml" Id="rId3" /><Relationship Type="http://schemas.openxmlformats.org/officeDocument/2006/relationships/image" Target="/word/media/image1.png" Id="rId7" /><Relationship Type="http://schemas.openxmlformats.org/officeDocument/2006/relationships/glossaryDocument" Target="/word/glossary/document.xml" Id="rId12" /><Relationship Type="http://schemas.openxmlformats.org/officeDocument/2006/relationships/styles" Target="/word/styles.xml" Id="rId2" /><Relationship Type="http://schemas.openxmlformats.org/officeDocument/2006/relationships/numbering" Target="/word/numbering.xml" Id="rId1" /><Relationship Type="http://schemas.openxmlformats.org/officeDocument/2006/relationships/endnotes" Target="/word/endnotes.xml" Id="rId6" /><Relationship Type="http://schemas.openxmlformats.org/officeDocument/2006/relationships/fontTable" Target="/word/fontTable.xml" Id="rId11" /><Relationship Type="http://schemas.openxmlformats.org/officeDocument/2006/relationships/footnotes" Target="/word/footnotes.xml" Id="rId5" /><Relationship Type="http://schemas.openxmlformats.org/officeDocument/2006/relationships/footer" Target="/word/footer2.xml" Id="rId10" /><Relationship Type="http://schemas.openxmlformats.org/officeDocument/2006/relationships/webSettings" Target="/word/webSettings.xml" Id="rId4" /><Relationship Type="http://schemas.openxmlformats.org/officeDocument/2006/relationships/footer" Target="/word/footer1.xml" Id="rId9"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xml" Id="rId3" /><Relationship Type="http://schemas.openxmlformats.org/officeDocument/2006/relationships/settings" Target="/word/glossary/settings.xml" Id="rId2" /><Relationship Type="http://schemas.openxmlformats.org/officeDocument/2006/relationships/styles" Target="/word/glossary/styles.xml" Id="rId1" /><Relationship Type="http://schemas.openxmlformats.org/officeDocument/2006/relationships/fontTable" Target="/word/glossary/fontTable.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5772E40-92B6-4D21-ACCF-FAC75C11BC20}"/>
      </w:docPartPr>
      <w:docPartBody>
        <w:p w:rsidR="00000000" w:rsidRDefault="00103BE7">
          <w:r w:rsidRPr="00746AE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BE7"/>
    <w:rsid w:val="00103BE7"/>
    <w:rsid w:val="003A28F3"/>
    <w:rsid w:val="00EB5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03BE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2234</Words>
  <Characters>13296</Characters>
  <Application>Microsoft Office Word</Application>
  <DocSecurity>0</DocSecurity>
  <Lines>187</Lines>
  <Paragraphs>75</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15455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Baraldi</dc:creator>
  <cp:keywords/>
  <dc:description/>
  <cp:lastModifiedBy>Giuseppe Pisano</cp:lastModifiedBy>
  <cp:revision>8</cp:revision>
  <dcterms:created xsi:type="dcterms:W3CDTF">2026-02-28T20:20:00Z</dcterms:created>
  <dcterms:modified xsi:type="dcterms:W3CDTF">2026-03-11T14:52:00Z</dcterms:modified>
</cp:coreProperties>
</file>