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6BEB7" w14:textId="77777777" w:rsidR="00F11B58" w:rsidRDefault="0023361C" w:rsidP="00F11B58">
      <w:pPr>
        <w:jc w:val="center"/>
      </w:pPr>
      <w:r>
        <w:t xml:space="preserve">Optimal Codons in </w:t>
      </w:r>
      <w:proofErr w:type="gramStart"/>
      <w:r>
        <w:t>Gilchrist(</w:t>
      </w:r>
      <w:proofErr w:type="gramEnd"/>
      <w:r>
        <w:t xml:space="preserve">2015) vs. </w:t>
      </w:r>
      <w:proofErr w:type="spellStart"/>
      <w:r>
        <w:t>Stenico</w:t>
      </w:r>
      <w:proofErr w:type="spellEnd"/>
      <w:r>
        <w:t>(1994)</w:t>
      </w:r>
    </w:p>
    <w:p w14:paraId="745F3C35" w14:textId="17AA84CB" w:rsidR="00FE2506" w:rsidRDefault="00F11B58">
      <w:r>
        <w:tab/>
      </w:r>
      <w:r w:rsidR="00075F17">
        <w:t xml:space="preserve">The “Codon usage in </w:t>
      </w:r>
      <w:proofErr w:type="spellStart"/>
      <w:r w:rsidR="00075F17" w:rsidRPr="00075F17">
        <w:rPr>
          <w:i/>
        </w:rPr>
        <w:t>Caenorhabditis</w:t>
      </w:r>
      <w:proofErr w:type="spellEnd"/>
      <w:r w:rsidR="00075F17" w:rsidRPr="00075F17">
        <w:rPr>
          <w:i/>
        </w:rPr>
        <w:t xml:space="preserve"> </w:t>
      </w:r>
      <w:proofErr w:type="spellStart"/>
      <w:r w:rsidR="00075F17" w:rsidRPr="00075F17">
        <w:rPr>
          <w:i/>
        </w:rPr>
        <w:t>elegans</w:t>
      </w:r>
      <w:proofErr w:type="spellEnd"/>
      <w:r w:rsidR="00075F17">
        <w:t>: delineation of translational selection and mutational biases”</w:t>
      </w:r>
      <w:r w:rsidR="008D43F5">
        <w:t xml:space="preserve"> study</w:t>
      </w:r>
      <w:r w:rsidR="00075F17">
        <w:t xml:space="preserve"> </w:t>
      </w:r>
      <w:r w:rsidR="008D43F5">
        <w:t xml:space="preserve">by </w:t>
      </w:r>
      <w:proofErr w:type="spellStart"/>
      <w:r w:rsidR="008D43F5">
        <w:t>Stenico</w:t>
      </w:r>
      <w:proofErr w:type="spellEnd"/>
      <w:r w:rsidR="008D43F5">
        <w:t xml:space="preserve">, </w:t>
      </w:r>
      <w:proofErr w:type="gramStart"/>
      <w:r w:rsidR="008D43F5">
        <w:t>et</w:t>
      </w:r>
      <w:proofErr w:type="gramEnd"/>
      <w:r w:rsidR="008D43F5">
        <w:t xml:space="preserve">. </w:t>
      </w:r>
      <w:proofErr w:type="gramStart"/>
      <w:r w:rsidR="008D43F5">
        <w:t>al</w:t>
      </w:r>
      <w:proofErr w:type="gramEnd"/>
      <w:r w:rsidR="008D43F5">
        <w:t xml:space="preserve">. (1994) </w:t>
      </w:r>
      <w:r w:rsidR="00075F17">
        <w:t xml:space="preserve">used a correspondence analysis on the genes of C. </w:t>
      </w:r>
      <w:proofErr w:type="spellStart"/>
      <w:r w:rsidR="00075F17">
        <w:t>elegans</w:t>
      </w:r>
      <w:proofErr w:type="spellEnd"/>
      <w:r w:rsidR="00075F17">
        <w:t xml:space="preserve"> to</w:t>
      </w:r>
      <w:r w:rsidR="00580D3D">
        <w:t xml:space="preserve"> determine correlations with</w:t>
      </w:r>
      <w:r w:rsidR="00075F17">
        <w:t xml:space="preserve"> codon usage bias. They found that relative s</w:t>
      </w:r>
      <w:r w:rsidR="00580D3D">
        <w:t>ynonymous codon usage (RSCU)</w:t>
      </w:r>
      <w:r w:rsidR="00075F17">
        <w:t xml:space="preserve"> has a large correspondence with codon usage bias, which they measured by looking at </w:t>
      </w:r>
      <w:proofErr w:type="spellStart"/>
      <w:r w:rsidR="00075F17">
        <w:t>N</w:t>
      </w:r>
      <w:r w:rsidR="00075F17">
        <w:rPr>
          <w:vertAlign w:val="subscript"/>
        </w:rPr>
        <w:t>c</w:t>
      </w:r>
      <w:proofErr w:type="spellEnd"/>
      <w:r w:rsidR="00075F17">
        <w:t xml:space="preserve"> or the effective number of codons used in a gene.</w:t>
      </w:r>
    </w:p>
    <w:p w14:paraId="0495B345" w14:textId="246A3832" w:rsidR="00075F17" w:rsidRDefault="00075F17">
      <w:r>
        <w:tab/>
        <w:t xml:space="preserve">The study looked at the difference between the coding in the top 10% of biased—the most biased— genes and the lowest 10% of biased—the least biased—unrecognized reading frames (URFs). Comparing the usage of certain codons in genes versus the usage of codons in these URFs, they found that </w:t>
      </w:r>
      <w:r w:rsidR="008D43F5">
        <w:t>there were 21 codons whose usage was significantly higher</w:t>
      </w:r>
      <w:r w:rsidR="0023361C">
        <w:t xml:space="preserve"> (p &lt;</w:t>
      </w:r>
      <w:r w:rsidR="009E5684">
        <w:t xml:space="preserve"> </w:t>
      </w:r>
      <w:r w:rsidR="0023361C">
        <w:t>.01)</w:t>
      </w:r>
      <w:r w:rsidR="008D43F5">
        <w:t xml:space="preserve"> among the high bias genes than the low bias URFs. I will state below the Gilchrist (2015) Figure 6 results </w:t>
      </w:r>
      <w:r w:rsidR="0023361C">
        <w:t xml:space="preserve">(for </w:t>
      </w:r>
      <w:r w:rsidR="0023361C" w:rsidRPr="0023361C">
        <w:rPr>
          <w:i/>
        </w:rPr>
        <w:t xml:space="preserve">S. </w:t>
      </w:r>
      <w:proofErr w:type="spellStart"/>
      <w:r w:rsidR="0023361C" w:rsidRPr="0023361C">
        <w:rPr>
          <w:i/>
        </w:rPr>
        <w:t>cerevisiae</w:t>
      </w:r>
      <w:proofErr w:type="spellEnd"/>
      <w:r w:rsidR="0023361C">
        <w:t xml:space="preserve">) </w:t>
      </w:r>
      <w:r w:rsidR="008D43F5">
        <w:t xml:space="preserve">and the results from </w:t>
      </w:r>
      <w:proofErr w:type="spellStart"/>
      <w:r w:rsidR="008D43F5">
        <w:t>Stenico</w:t>
      </w:r>
      <w:proofErr w:type="spellEnd"/>
      <w:r w:rsidR="008D43F5">
        <w:t xml:space="preserve"> (1994) table 3, both of which look at codon usage frequency, for each amino acid. Note that Gilchrist (2015) looks at a continuous set of protein expressions and</w:t>
      </w:r>
      <w:r w:rsidR="00F11B58">
        <w:t xml:space="preserve"> this paper looks at the top 10% </w:t>
      </w:r>
      <w:r w:rsidR="0023361C">
        <w:t xml:space="preserve">of </w:t>
      </w:r>
      <w:r w:rsidR="00F11B58">
        <w:t xml:space="preserve">genes </w:t>
      </w:r>
      <w:r w:rsidR="008D43F5">
        <w:t>and lowest 10</w:t>
      </w:r>
      <w:r w:rsidR="0023361C">
        <w:t>%</w:t>
      </w:r>
      <w:r w:rsidR="008D43F5">
        <w:t xml:space="preserve"> </w:t>
      </w:r>
      <w:r w:rsidR="00F11B58">
        <w:t>percent of URFs regarding expression levels</w:t>
      </w:r>
      <w:r w:rsidR="008D43F5">
        <w:t xml:space="preserve">.  </w:t>
      </w:r>
      <w:r w:rsidR="00CA7BCD">
        <w:t xml:space="preserve">Also note that the </w:t>
      </w:r>
      <w:proofErr w:type="spellStart"/>
      <w:r w:rsidR="00CA7BCD">
        <w:t>Stenico</w:t>
      </w:r>
      <w:proofErr w:type="spellEnd"/>
      <w:r w:rsidR="00CA7BCD">
        <w:t xml:space="preserve"> (1994) study uses the nucleotide U where the Gilchrist study uses T</w:t>
      </w:r>
      <w:r w:rsidR="009E5684">
        <w:t>, so I put a XXT/XXU in the Gilchrist columns</w:t>
      </w:r>
      <w:r w:rsidR="00CA7BCD">
        <w:t>.</w:t>
      </w:r>
    </w:p>
    <w:p w14:paraId="7E0B14D6" w14:textId="77777777" w:rsidR="00CA7BCD" w:rsidRDefault="00CA7BCD"/>
    <w:tbl>
      <w:tblPr>
        <w:tblW w:w="9180" w:type="dxa"/>
        <w:tblInd w:w="18" w:type="dxa"/>
        <w:tblLayout w:type="fixed"/>
        <w:tblLook w:val="04A0" w:firstRow="1" w:lastRow="0" w:firstColumn="1" w:lastColumn="0" w:noHBand="0" w:noVBand="1"/>
      </w:tblPr>
      <w:tblGrid>
        <w:gridCol w:w="1440"/>
        <w:gridCol w:w="2610"/>
        <w:gridCol w:w="2520"/>
        <w:gridCol w:w="2610"/>
      </w:tblGrid>
      <w:tr w:rsidR="00F11B58" w:rsidRPr="00F11B58" w14:paraId="5E23670D" w14:textId="77777777" w:rsidTr="00F11B58">
        <w:trPr>
          <w:trHeight w:val="300"/>
        </w:trPr>
        <w:tc>
          <w:tcPr>
            <w:tcW w:w="1440" w:type="dxa"/>
            <w:tcBorders>
              <w:top w:val="nil"/>
              <w:left w:val="nil"/>
              <w:bottom w:val="nil"/>
              <w:right w:val="nil"/>
            </w:tcBorders>
            <w:shd w:val="clear" w:color="auto" w:fill="auto"/>
            <w:noWrap/>
            <w:vAlign w:val="bottom"/>
            <w:hideMark/>
          </w:tcPr>
          <w:p w14:paraId="0A2B4D7B"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Amino Acid:</w:t>
            </w:r>
          </w:p>
        </w:tc>
        <w:tc>
          <w:tcPr>
            <w:tcW w:w="2610" w:type="dxa"/>
            <w:tcBorders>
              <w:top w:val="nil"/>
              <w:left w:val="nil"/>
              <w:bottom w:val="nil"/>
              <w:right w:val="nil"/>
            </w:tcBorders>
            <w:shd w:val="clear" w:color="auto" w:fill="auto"/>
            <w:noWrap/>
            <w:vAlign w:val="bottom"/>
            <w:hideMark/>
          </w:tcPr>
          <w:p w14:paraId="3A48255A"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Gilchrist Optimal Codon</w:t>
            </w:r>
            <w:r>
              <w:rPr>
                <w:rFonts w:ascii="Calibri" w:eastAsia="Times New Roman" w:hAnsi="Calibri"/>
                <w:color w:val="000000"/>
              </w:rPr>
              <w:t>:</w:t>
            </w:r>
            <w:r w:rsidRPr="00F11B58">
              <w:rPr>
                <w:rFonts w:ascii="Calibri" w:eastAsia="Times New Roman" w:hAnsi="Calibri"/>
                <w:color w:val="000000"/>
              </w:rPr>
              <w:t xml:space="preserve"> </w:t>
            </w:r>
          </w:p>
        </w:tc>
        <w:tc>
          <w:tcPr>
            <w:tcW w:w="2520" w:type="dxa"/>
            <w:tcBorders>
              <w:top w:val="nil"/>
              <w:left w:val="nil"/>
              <w:bottom w:val="nil"/>
              <w:right w:val="nil"/>
            </w:tcBorders>
            <w:shd w:val="clear" w:color="auto" w:fill="auto"/>
            <w:noWrap/>
            <w:vAlign w:val="bottom"/>
            <w:hideMark/>
          </w:tcPr>
          <w:p w14:paraId="7CCDB3FA"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Stenica</w:t>
            </w:r>
            <w:proofErr w:type="spellEnd"/>
            <w:r w:rsidRPr="00F11B58">
              <w:rPr>
                <w:rFonts w:ascii="Calibri" w:eastAsia="Times New Roman" w:hAnsi="Calibri"/>
                <w:color w:val="000000"/>
              </w:rPr>
              <w:t xml:space="preserve"> Optimal Codon</w:t>
            </w:r>
            <w:r>
              <w:rPr>
                <w:rFonts w:ascii="Calibri" w:eastAsia="Times New Roman" w:hAnsi="Calibri"/>
                <w:color w:val="000000"/>
              </w:rPr>
              <w:t>:</w:t>
            </w:r>
          </w:p>
        </w:tc>
        <w:tc>
          <w:tcPr>
            <w:tcW w:w="2610" w:type="dxa"/>
            <w:tcBorders>
              <w:top w:val="nil"/>
              <w:left w:val="nil"/>
              <w:bottom w:val="nil"/>
              <w:right w:val="nil"/>
            </w:tcBorders>
            <w:shd w:val="clear" w:color="auto" w:fill="auto"/>
            <w:noWrap/>
            <w:vAlign w:val="bottom"/>
            <w:hideMark/>
          </w:tcPr>
          <w:p w14:paraId="7A7E6631" w14:textId="77777777" w:rsidR="00F11B58" w:rsidRPr="00F11B58" w:rsidRDefault="00F11B58" w:rsidP="00F11B58">
            <w:pPr>
              <w:rPr>
                <w:rFonts w:ascii="Calibri" w:eastAsia="Times New Roman" w:hAnsi="Calibri"/>
                <w:color w:val="000000"/>
              </w:rPr>
            </w:pPr>
            <w:r>
              <w:rPr>
                <w:rFonts w:ascii="Calibri" w:eastAsia="Times New Roman" w:hAnsi="Calibri"/>
                <w:color w:val="000000"/>
              </w:rPr>
              <w:t>Studies A</w:t>
            </w:r>
            <w:r w:rsidRPr="00F11B58">
              <w:rPr>
                <w:rFonts w:ascii="Calibri" w:eastAsia="Times New Roman" w:hAnsi="Calibri"/>
                <w:color w:val="000000"/>
              </w:rPr>
              <w:t>gree</w:t>
            </w:r>
            <w:r>
              <w:rPr>
                <w:rFonts w:ascii="Calibri" w:eastAsia="Times New Roman" w:hAnsi="Calibri"/>
                <w:color w:val="000000"/>
              </w:rPr>
              <w:t>: (x=yes)</w:t>
            </w:r>
          </w:p>
        </w:tc>
      </w:tr>
      <w:tr w:rsidR="00F11B58" w:rsidRPr="00F11B58" w14:paraId="14F09FFE" w14:textId="77777777" w:rsidTr="00F11B58">
        <w:trPr>
          <w:trHeight w:val="300"/>
        </w:trPr>
        <w:tc>
          <w:tcPr>
            <w:tcW w:w="1440" w:type="dxa"/>
            <w:tcBorders>
              <w:top w:val="nil"/>
              <w:left w:val="nil"/>
              <w:bottom w:val="nil"/>
              <w:right w:val="nil"/>
            </w:tcBorders>
            <w:shd w:val="clear" w:color="auto" w:fill="auto"/>
            <w:noWrap/>
            <w:vAlign w:val="bottom"/>
            <w:hideMark/>
          </w:tcPr>
          <w:p w14:paraId="0F35444E"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Ala</w:t>
            </w:r>
            <w:proofErr w:type="spellEnd"/>
          </w:p>
        </w:tc>
        <w:tc>
          <w:tcPr>
            <w:tcW w:w="2610" w:type="dxa"/>
            <w:tcBorders>
              <w:top w:val="nil"/>
              <w:left w:val="nil"/>
              <w:bottom w:val="nil"/>
              <w:right w:val="nil"/>
            </w:tcBorders>
            <w:shd w:val="clear" w:color="auto" w:fill="auto"/>
            <w:noWrap/>
            <w:vAlign w:val="bottom"/>
            <w:hideMark/>
          </w:tcPr>
          <w:p w14:paraId="098A0B01"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GCT/GCU</w:t>
            </w:r>
          </w:p>
        </w:tc>
        <w:tc>
          <w:tcPr>
            <w:tcW w:w="2520" w:type="dxa"/>
            <w:tcBorders>
              <w:top w:val="nil"/>
              <w:left w:val="nil"/>
              <w:bottom w:val="nil"/>
              <w:right w:val="nil"/>
            </w:tcBorders>
            <w:shd w:val="clear" w:color="auto" w:fill="auto"/>
            <w:noWrap/>
            <w:vAlign w:val="bottom"/>
            <w:hideMark/>
          </w:tcPr>
          <w:p w14:paraId="0FD4CE5A"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GCU</w:t>
            </w:r>
          </w:p>
        </w:tc>
        <w:tc>
          <w:tcPr>
            <w:tcW w:w="2610" w:type="dxa"/>
            <w:tcBorders>
              <w:top w:val="nil"/>
              <w:left w:val="nil"/>
              <w:bottom w:val="nil"/>
              <w:right w:val="nil"/>
            </w:tcBorders>
            <w:shd w:val="clear" w:color="auto" w:fill="auto"/>
            <w:noWrap/>
            <w:vAlign w:val="bottom"/>
            <w:hideMark/>
          </w:tcPr>
          <w:p w14:paraId="71FD13E1"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29DE962E" w14:textId="77777777" w:rsidTr="00F11B58">
        <w:trPr>
          <w:trHeight w:val="300"/>
        </w:trPr>
        <w:tc>
          <w:tcPr>
            <w:tcW w:w="1440" w:type="dxa"/>
            <w:tcBorders>
              <w:top w:val="nil"/>
              <w:left w:val="nil"/>
              <w:bottom w:val="nil"/>
              <w:right w:val="nil"/>
            </w:tcBorders>
            <w:shd w:val="clear" w:color="auto" w:fill="auto"/>
            <w:noWrap/>
            <w:vAlign w:val="bottom"/>
            <w:hideMark/>
          </w:tcPr>
          <w:p w14:paraId="6E36937C"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3EC4EF7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w:t>
            </w:r>
          </w:p>
        </w:tc>
        <w:tc>
          <w:tcPr>
            <w:tcW w:w="2520" w:type="dxa"/>
            <w:tcBorders>
              <w:top w:val="nil"/>
              <w:left w:val="nil"/>
              <w:bottom w:val="nil"/>
              <w:right w:val="nil"/>
            </w:tcBorders>
            <w:shd w:val="clear" w:color="auto" w:fill="auto"/>
            <w:noWrap/>
            <w:vAlign w:val="bottom"/>
            <w:hideMark/>
          </w:tcPr>
          <w:p w14:paraId="24226B0A"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GCC</w:t>
            </w:r>
          </w:p>
        </w:tc>
        <w:tc>
          <w:tcPr>
            <w:tcW w:w="2610" w:type="dxa"/>
            <w:tcBorders>
              <w:top w:val="nil"/>
              <w:left w:val="nil"/>
              <w:bottom w:val="nil"/>
              <w:right w:val="nil"/>
            </w:tcBorders>
            <w:shd w:val="clear" w:color="auto" w:fill="auto"/>
            <w:noWrap/>
            <w:vAlign w:val="bottom"/>
            <w:hideMark/>
          </w:tcPr>
          <w:p w14:paraId="57711FD2" w14:textId="77777777" w:rsidR="00F11B58" w:rsidRPr="00F11B58" w:rsidRDefault="00F11B58" w:rsidP="00F11B58">
            <w:pPr>
              <w:rPr>
                <w:rFonts w:ascii="Calibri" w:eastAsia="Times New Roman" w:hAnsi="Calibri"/>
                <w:color w:val="000000"/>
              </w:rPr>
            </w:pPr>
          </w:p>
        </w:tc>
      </w:tr>
      <w:tr w:rsidR="00F11B58" w:rsidRPr="00F11B58" w14:paraId="48FBA8FD" w14:textId="77777777" w:rsidTr="00F11B58">
        <w:trPr>
          <w:trHeight w:val="300"/>
        </w:trPr>
        <w:tc>
          <w:tcPr>
            <w:tcW w:w="1440" w:type="dxa"/>
            <w:tcBorders>
              <w:top w:val="nil"/>
              <w:left w:val="nil"/>
              <w:bottom w:val="nil"/>
              <w:right w:val="nil"/>
            </w:tcBorders>
            <w:shd w:val="clear" w:color="auto" w:fill="auto"/>
            <w:noWrap/>
            <w:vAlign w:val="bottom"/>
            <w:hideMark/>
          </w:tcPr>
          <w:p w14:paraId="5B3422D9"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Cys</w:t>
            </w:r>
            <w:proofErr w:type="spellEnd"/>
          </w:p>
        </w:tc>
        <w:tc>
          <w:tcPr>
            <w:tcW w:w="2610" w:type="dxa"/>
            <w:tcBorders>
              <w:top w:val="nil"/>
              <w:left w:val="nil"/>
              <w:bottom w:val="nil"/>
              <w:right w:val="nil"/>
            </w:tcBorders>
            <w:shd w:val="clear" w:color="auto" w:fill="auto"/>
            <w:noWrap/>
            <w:vAlign w:val="bottom"/>
            <w:hideMark/>
          </w:tcPr>
          <w:p w14:paraId="7A29CB4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TGT/UGU</w:t>
            </w:r>
          </w:p>
        </w:tc>
        <w:tc>
          <w:tcPr>
            <w:tcW w:w="2520" w:type="dxa"/>
            <w:tcBorders>
              <w:top w:val="nil"/>
              <w:left w:val="nil"/>
              <w:bottom w:val="nil"/>
              <w:right w:val="nil"/>
            </w:tcBorders>
            <w:shd w:val="clear" w:color="auto" w:fill="auto"/>
            <w:noWrap/>
            <w:vAlign w:val="bottom"/>
            <w:hideMark/>
          </w:tcPr>
          <w:p w14:paraId="30675016"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UGC</w:t>
            </w:r>
          </w:p>
        </w:tc>
        <w:tc>
          <w:tcPr>
            <w:tcW w:w="2610" w:type="dxa"/>
            <w:tcBorders>
              <w:top w:val="nil"/>
              <w:left w:val="nil"/>
              <w:bottom w:val="nil"/>
              <w:right w:val="nil"/>
            </w:tcBorders>
            <w:shd w:val="clear" w:color="auto" w:fill="auto"/>
            <w:noWrap/>
            <w:vAlign w:val="bottom"/>
            <w:hideMark/>
          </w:tcPr>
          <w:p w14:paraId="06781CF5" w14:textId="77777777" w:rsidR="00F11B58" w:rsidRPr="00F11B58" w:rsidRDefault="00F11B58" w:rsidP="00F11B58">
            <w:pPr>
              <w:rPr>
                <w:rFonts w:ascii="Calibri" w:eastAsia="Times New Roman" w:hAnsi="Calibri"/>
                <w:color w:val="000000"/>
              </w:rPr>
            </w:pPr>
          </w:p>
        </w:tc>
      </w:tr>
      <w:tr w:rsidR="00F11B58" w:rsidRPr="00F11B58" w14:paraId="0E1006A4" w14:textId="77777777" w:rsidTr="00F11B58">
        <w:trPr>
          <w:trHeight w:val="300"/>
        </w:trPr>
        <w:tc>
          <w:tcPr>
            <w:tcW w:w="1440" w:type="dxa"/>
            <w:tcBorders>
              <w:top w:val="nil"/>
              <w:left w:val="nil"/>
              <w:bottom w:val="nil"/>
              <w:right w:val="nil"/>
            </w:tcBorders>
            <w:shd w:val="clear" w:color="auto" w:fill="auto"/>
            <w:noWrap/>
            <w:vAlign w:val="bottom"/>
            <w:hideMark/>
          </w:tcPr>
          <w:p w14:paraId="798EBE69"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Asp</w:t>
            </w:r>
          </w:p>
        </w:tc>
        <w:tc>
          <w:tcPr>
            <w:tcW w:w="2610" w:type="dxa"/>
            <w:tcBorders>
              <w:top w:val="nil"/>
              <w:left w:val="nil"/>
              <w:bottom w:val="nil"/>
              <w:right w:val="nil"/>
            </w:tcBorders>
            <w:shd w:val="clear" w:color="auto" w:fill="auto"/>
            <w:noWrap/>
            <w:vAlign w:val="bottom"/>
            <w:hideMark/>
          </w:tcPr>
          <w:p w14:paraId="742BAD7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GAC</w:t>
            </w:r>
          </w:p>
        </w:tc>
        <w:tc>
          <w:tcPr>
            <w:tcW w:w="2520" w:type="dxa"/>
            <w:tcBorders>
              <w:top w:val="nil"/>
              <w:left w:val="nil"/>
              <w:bottom w:val="nil"/>
              <w:right w:val="nil"/>
            </w:tcBorders>
            <w:shd w:val="clear" w:color="auto" w:fill="auto"/>
            <w:noWrap/>
            <w:vAlign w:val="bottom"/>
            <w:hideMark/>
          </w:tcPr>
          <w:p w14:paraId="4AA9A616"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GAC</w:t>
            </w:r>
          </w:p>
        </w:tc>
        <w:tc>
          <w:tcPr>
            <w:tcW w:w="2610" w:type="dxa"/>
            <w:tcBorders>
              <w:top w:val="nil"/>
              <w:left w:val="nil"/>
              <w:bottom w:val="nil"/>
              <w:right w:val="nil"/>
            </w:tcBorders>
            <w:shd w:val="clear" w:color="auto" w:fill="auto"/>
            <w:noWrap/>
            <w:vAlign w:val="bottom"/>
            <w:hideMark/>
          </w:tcPr>
          <w:p w14:paraId="69557255"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2F5264F5" w14:textId="77777777" w:rsidTr="00F11B58">
        <w:trPr>
          <w:trHeight w:val="300"/>
        </w:trPr>
        <w:tc>
          <w:tcPr>
            <w:tcW w:w="1440" w:type="dxa"/>
            <w:tcBorders>
              <w:top w:val="nil"/>
              <w:left w:val="nil"/>
              <w:bottom w:val="nil"/>
              <w:right w:val="nil"/>
            </w:tcBorders>
            <w:shd w:val="clear" w:color="auto" w:fill="auto"/>
            <w:noWrap/>
            <w:vAlign w:val="bottom"/>
            <w:hideMark/>
          </w:tcPr>
          <w:p w14:paraId="17DB7A4D"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Glu</w:t>
            </w:r>
            <w:proofErr w:type="spellEnd"/>
          </w:p>
        </w:tc>
        <w:tc>
          <w:tcPr>
            <w:tcW w:w="2610" w:type="dxa"/>
            <w:tcBorders>
              <w:top w:val="nil"/>
              <w:left w:val="nil"/>
              <w:bottom w:val="nil"/>
              <w:right w:val="nil"/>
            </w:tcBorders>
            <w:shd w:val="clear" w:color="auto" w:fill="auto"/>
            <w:noWrap/>
            <w:vAlign w:val="bottom"/>
            <w:hideMark/>
          </w:tcPr>
          <w:p w14:paraId="59EFA2B4"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GAA</w:t>
            </w:r>
          </w:p>
        </w:tc>
        <w:tc>
          <w:tcPr>
            <w:tcW w:w="2520" w:type="dxa"/>
            <w:tcBorders>
              <w:top w:val="nil"/>
              <w:left w:val="nil"/>
              <w:bottom w:val="nil"/>
              <w:right w:val="nil"/>
            </w:tcBorders>
            <w:shd w:val="clear" w:color="auto" w:fill="auto"/>
            <w:noWrap/>
            <w:vAlign w:val="bottom"/>
            <w:hideMark/>
          </w:tcPr>
          <w:p w14:paraId="5941BF36" w14:textId="77777777" w:rsidR="00F11B58" w:rsidRPr="00F11B58" w:rsidRDefault="00F11B58" w:rsidP="00F11B58">
            <w:pPr>
              <w:ind w:right="1477"/>
              <w:rPr>
                <w:rFonts w:ascii="Calibri" w:eastAsia="Times New Roman" w:hAnsi="Calibri"/>
                <w:color w:val="000000"/>
              </w:rPr>
            </w:pPr>
            <w:r w:rsidRPr="00F11B58">
              <w:rPr>
                <w:rFonts w:ascii="Calibri" w:eastAsia="Times New Roman" w:hAnsi="Calibri"/>
                <w:color w:val="000000"/>
              </w:rPr>
              <w:t>GAG</w:t>
            </w:r>
          </w:p>
        </w:tc>
        <w:tc>
          <w:tcPr>
            <w:tcW w:w="2610" w:type="dxa"/>
            <w:tcBorders>
              <w:top w:val="nil"/>
              <w:left w:val="nil"/>
              <w:bottom w:val="nil"/>
              <w:right w:val="nil"/>
            </w:tcBorders>
            <w:shd w:val="clear" w:color="auto" w:fill="auto"/>
            <w:noWrap/>
            <w:vAlign w:val="bottom"/>
            <w:hideMark/>
          </w:tcPr>
          <w:p w14:paraId="4A516311" w14:textId="77777777" w:rsidR="00F11B58" w:rsidRPr="00F11B58" w:rsidRDefault="00F11B58" w:rsidP="00F11B58">
            <w:pPr>
              <w:rPr>
                <w:rFonts w:ascii="Calibri" w:eastAsia="Times New Roman" w:hAnsi="Calibri"/>
                <w:color w:val="000000"/>
              </w:rPr>
            </w:pPr>
          </w:p>
        </w:tc>
      </w:tr>
      <w:tr w:rsidR="00F11B58" w:rsidRPr="00F11B58" w14:paraId="60007588" w14:textId="77777777" w:rsidTr="00F11B58">
        <w:trPr>
          <w:trHeight w:val="300"/>
        </w:trPr>
        <w:tc>
          <w:tcPr>
            <w:tcW w:w="1440" w:type="dxa"/>
            <w:tcBorders>
              <w:top w:val="nil"/>
              <w:left w:val="nil"/>
              <w:bottom w:val="nil"/>
              <w:right w:val="nil"/>
            </w:tcBorders>
            <w:shd w:val="clear" w:color="auto" w:fill="auto"/>
            <w:noWrap/>
            <w:vAlign w:val="bottom"/>
            <w:hideMark/>
          </w:tcPr>
          <w:p w14:paraId="06F7E66C"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Phe</w:t>
            </w:r>
            <w:proofErr w:type="spellEnd"/>
          </w:p>
        </w:tc>
        <w:tc>
          <w:tcPr>
            <w:tcW w:w="2610" w:type="dxa"/>
            <w:tcBorders>
              <w:top w:val="nil"/>
              <w:left w:val="nil"/>
              <w:bottom w:val="nil"/>
              <w:right w:val="nil"/>
            </w:tcBorders>
            <w:shd w:val="clear" w:color="auto" w:fill="auto"/>
            <w:noWrap/>
            <w:vAlign w:val="bottom"/>
            <w:hideMark/>
          </w:tcPr>
          <w:p w14:paraId="6F4F616C"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TTC/UUC</w:t>
            </w:r>
          </w:p>
        </w:tc>
        <w:tc>
          <w:tcPr>
            <w:tcW w:w="2520" w:type="dxa"/>
            <w:tcBorders>
              <w:top w:val="nil"/>
              <w:left w:val="nil"/>
              <w:bottom w:val="nil"/>
              <w:right w:val="nil"/>
            </w:tcBorders>
            <w:shd w:val="clear" w:color="auto" w:fill="auto"/>
            <w:noWrap/>
            <w:vAlign w:val="bottom"/>
            <w:hideMark/>
          </w:tcPr>
          <w:p w14:paraId="5359622C"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UUC</w:t>
            </w:r>
          </w:p>
        </w:tc>
        <w:tc>
          <w:tcPr>
            <w:tcW w:w="2610" w:type="dxa"/>
            <w:tcBorders>
              <w:top w:val="nil"/>
              <w:left w:val="nil"/>
              <w:bottom w:val="nil"/>
              <w:right w:val="nil"/>
            </w:tcBorders>
            <w:shd w:val="clear" w:color="auto" w:fill="auto"/>
            <w:noWrap/>
            <w:vAlign w:val="bottom"/>
            <w:hideMark/>
          </w:tcPr>
          <w:p w14:paraId="2718083B"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3B829870" w14:textId="77777777" w:rsidTr="00F11B58">
        <w:trPr>
          <w:trHeight w:val="300"/>
        </w:trPr>
        <w:tc>
          <w:tcPr>
            <w:tcW w:w="1440" w:type="dxa"/>
            <w:tcBorders>
              <w:top w:val="nil"/>
              <w:left w:val="nil"/>
              <w:bottom w:val="nil"/>
              <w:right w:val="nil"/>
            </w:tcBorders>
            <w:shd w:val="clear" w:color="auto" w:fill="auto"/>
            <w:noWrap/>
            <w:vAlign w:val="bottom"/>
            <w:hideMark/>
          </w:tcPr>
          <w:p w14:paraId="0CA9C1CB"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Gly</w:t>
            </w:r>
            <w:proofErr w:type="spellEnd"/>
          </w:p>
        </w:tc>
        <w:tc>
          <w:tcPr>
            <w:tcW w:w="2610" w:type="dxa"/>
            <w:tcBorders>
              <w:top w:val="nil"/>
              <w:left w:val="nil"/>
              <w:bottom w:val="nil"/>
              <w:right w:val="nil"/>
            </w:tcBorders>
            <w:shd w:val="clear" w:color="auto" w:fill="auto"/>
            <w:noWrap/>
            <w:vAlign w:val="bottom"/>
            <w:hideMark/>
          </w:tcPr>
          <w:p w14:paraId="677C44FD"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GGT/GGU</w:t>
            </w:r>
          </w:p>
        </w:tc>
        <w:tc>
          <w:tcPr>
            <w:tcW w:w="2520" w:type="dxa"/>
            <w:tcBorders>
              <w:top w:val="nil"/>
              <w:left w:val="nil"/>
              <w:bottom w:val="nil"/>
              <w:right w:val="nil"/>
            </w:tcBorders>
            <w:shd w:val="clear" w:color="auto" w:fill="auto"/>
            <w:noWrap/>
            <w:vAlign w:val="bottom"/>
            <w:hideMark/>
          </w:tcPr>
          <w:p w14:paraId="256F794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GGA</w:t>
            </w:r>
          </w:p>
        </w:tc>
        <w:tc>
          <w:tcPr>
            <w:tcW w:w="2610" w:type="dxa"/>
            <w:tcBorders>
              <w:top w:val="nil"/>
              <w:left w:val="nil"/>
              <w:bottom w:val="nil"/>
              <w:right w:val="nil"/>
            </w:tcBorders>
            <w:shd w:val="clear" w:color="auto" w:fill="auto"/>
            <w:noWrap/>
            <w:vAlign w:val="bottom"/>
            <w:hideMark/>
          </w:tcPr>
          <w:p w14:paraId="408B4FD6" w14:textId="77777777" w:rsidR="00F11B58" w:rsidRPr="00F11B58" w:rsidRDefault="00F11B58" w:rsidP="00F11B58">
            <w:pPr>
              <w:rPr>
                <w:rFonts w:ascii="Calibri" w:eastAsia="Times New Roman" w:hAnsi="Calibri"/>
                <w:color w:val="000000"/>
              </w:rPr>
            </w:pPr>
          </w:p>
        </w:tc>
      </w:tr>
      <w:tr w:rsidR="00F11B58" w:rsidRPr="00F11B58" w14:paraId="4F42C29E" w14:textId="77777777" w:rsidTr="00F11B58">
        <w:trPr>
          <w:trHeight w:val="300"/>
        </w:trPr>
        <w:tc>
          <w:tcPr>
            <w:tcW w:w="1440" w:type="dxa"/>
            <w:tcBorders>
              <w:top w:val="nil"/>
              <w:left w:val="nil"/>
              <w:bottom w:val="nil"/>
              <w:right w:val="nil"/>
            </w:tcBorders>
            <w:shd w:val="clear" w:color="auto" w:fill="auto"/>
            <w:noWrap/>
            <w:vAlign w:val="bottom"/>
            <w:hideMark/>
          </w:tcPr>
          <w:p w14:paraId="1C1ED668"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His</w:t>
            </w:r>
          </w:p>
        </w:tc>
        <w:tc>
          <w:tcPr>
            <w:tcW w:w="2610" w:type="dxa"/>
            <w:tcBorders>
              <w:top w:val="nil"/>
              <w:left w:val="nil"/>
              <w:bottom w:val="nil"/>
              <w:right w:val="nil"/>
            </w:tcBorders>
            <w:shd w:val="clear" w:color="auto" w:fill="auto"/>
            <w:noWrap/>
            <w:vAlign w:val="bottom"/>
            <w:hideMark/>
          </w:tcPr>
          <w:p w14:paraId="661425D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CAC</w:t>
            </w:r>
          </w:p>
        </w:tc>
        <w:tc>
          <w:tcPr>
            <w:tcW w:w="2520" w:type="dxa"/>
            <w:tcBorders>
              <w:top w:val="nil"/>
              <w:left w:val="nil"/>
              <w:bottom w:val="nil"/>
              <w:right w:val="nil"/>
            </w:tcBorders>
            <w:shd w:val="clear" w:color="auto" w:fill="auto"/>
            <w:noWrap/>
            <w:vAlign w:val="bottom"/>
            <w:hideMark/>
          </w:tcPr>
          <w:p w14:paraId="2DFC0BE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CAC</w:t>
            </w:r>
          </w:p>
        </w:tc>
        <w:tc>
          <w:tcPr>
            <w:tcW w:w="2610" w:type="dxa"/>
            <w:tcBorders>
              <w:top w:val="nil"/>
              <w:left w:val="nil"/>
              <w:bottom w:val="nil"/>
              <w:right w:val="nil"/>
            </w:tcBorders>
            <w:shd w:val="clear" w:color="auto" w:fill="auto"/>
            <w:noWrap/>
            <w:vAlign w:val="bottom"/>
            <w:hideMark/>
          </w:tcPr>
          <w:p w14:paraId="3960BD16"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5EC34272" w14:textId="77777777" w:rsidTr="00F11B58">
        <w:trPr>
          <w:trHeight w:val="300"/>
        </w:trPr>
        <w:tc>
          <w:tcPr>
            <w:tcW w:w="1440" w:type="dxa"/>
            <w:tcBorders>
              <w:top w:val="nil"/>
              <w:left w:val="nil"/>
              <w:bottom w:val="nil"/>
              <w:right w:val="nil"/>
            </w:tcBorders>
            <w:shd w:val="clear" w:color="auto" w:fill="auto"/>
            <w:noWrap/>
            <w:vAlign w:val="bottom"/>
            <w:hideMark/>
          </w:tcPr>
          <w:p w14:paraId="4F310821"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Ile</w:t>
            </w:r>
          </w:p>
        </w:tc>
        <w:tc>
          <w:tcPr>
            <w:tcW w:w="2610" w:type="dxa"/>
            <w:tcBorders>
              <w:top w:val="nil"/>
              <w:left w:val="nil"/>
              <w:bottom w:val="nil"/>
              <w:right w:val="nil"/>
            </w:tcBorders>
            <w:shd w:val="clear" w:color="auto" w:fill="auto"/>
            <w:noWrap/>
            <w:vAlign w:val="bottom"/>
            <w:hideMark/>
          </w:tcPr>
          <w:p w14:paraId="2711C6F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ATC/AUC</w:t>
            </w:r>
          </w:p>
        </w:tc>
        <w:tc>
          <w:tcPr>
            <w:tcW w:w="2520" w:type="dxa"/>
            <w:tcBorders>
              <w:top w:val="nil"/>
              <w:left w:val="nil"/>
              <w:bottom w:val="nil"/>
              <w:right w:val="nil"/>
            </w:tcBorders>
            <w:shd w:val="clear" w:color="auto" w:fill="auto"/>
            <w:noWrap/>
            <w:vAlign w:val="bottom"/>
            <w:hideMark/>
          </w:tcPr>
          <w:p w14:paraId="70099CB5"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AUC</w:t>
            </w:r>
          </w:p>
        </w:tc>
        <w:tc>
          <w:tcPr>
            <w:tcW w:w="2610" w:type="dxa"/>
            <w:tcBorders>
              <w:top w:val="nil"/>
              <w:left w:val="nil"/>
              <w:bottom w:val="nil"/>
              <w:right w:val="nil"/>
            </w:tcBorders>
            <w:shd w:val="clear" w:color="auto" w:fill="auto"/>
            <w:noWrap/>
            <w:vAlign w:val="bottom"/>
            <w:hideMark/>
          </w:tcPr>
          <w:p w14:paraId="3BCDBC72"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6524A332" w14:textId="77777777" w:rsidTr="00F11B58">
        <w:trPr>
          <w:trHeight w:val="300"/>
        </w:trPr>
        <w:tc>
          <w:tcPr>
            <w:tcW w:w="1440" w:type="dxa"/>
            <w:tcBorders>
              <w:top w:val="nil"/>
              <w:left w:val="nil"/>
              <w:bottom w:val="nil"/>
              <w:right w:val="nil"/>
            </w:tcBorders>
            <w:shd w:val="clear" w:color="auto" w:fill="auto"/>
            <w:noWrap/>
            <w:vAlign w:val="bottom"/>
            <w:hideMark/>
          </w:tcPr>
          <w:p w14:paraId="03D8F1E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Lys</w:t>
            </w:r>
          </w:p>
        </w:tc>
        <w:tc>
          <w:tcPr>
            <w:tcW w:w="2610" w:type="dxa"/>
            <w:tcBorders>
              <w:top w:val="nil"/>
              <w:left w:val="nil"/>
              <w:bottom w:val="nil"/>
              <w:right w:val="nil"/>
            </w:tcBorders>
            <w:shd w:val="clear" w:color="auto" w:fill="auto"/>
            <w:noWrap/>
            <w:vAlign w:val="bottom"/>
            <w:hideMark/>
          </w:tcPr>
          <w:p w14:paraId="34C3C56A"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AAG</w:t>
            </w:r>
          </w:p>
        </w:tc>
        <w:tc>
          <w:tcPr>
            <w:tcW w:w="2520" w:type="dxa"/>
            <w:tcBorders>
              <w:top w:val="nil"/>
              <w:left w:val="nil"/>
              <w:bottom w:val="nil"/>
              <w:right w:val="nil"/>
            </w:tcBorders>
            <w:shd w:val="clear" w:color="auto" w:fill="auto"/>
            <w:noWrap/>
            <w:vAlign w:val="bottom"/>
            <w:hideMark/>
          </w:tcPr>
          <w:p w14:paraId="55793F56"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AAG</w:t>
            </w:r>
          </w:p>
        </w:tc>
        <w:tc>
          <w:tcPr>
            <w:tcW w:w="2610" w:type="dxa"/>
            <w:tcBorders>
              <w:top w:val="nil"/>
              <w:left w:val="nil"/>
              <w:bottom w:val="nil"/>
              <w:right w:val="nil"/>
            </w:tcBorders>
            <w:shd w:val="clear" w:color="auto" w:fill="auto"/>
            <w:noWrap/>
            <w:vAlign w:val="bottom"/>
            <w:hideMark/>
          </w:tcPr>
          <w:p w14:paraId="277F9931"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64CEAC16" w14:textId="77777777" w:rsidTr="00F11B58">
        <w:trPr>
          <w:trHeight w:val="300"/>
        </w:trPr>
        <w:tc>
          <w:tcPr>
            <w:tcW w:w="1440" w:type="dxa"/>
            <w:tcBorders>
              <w:top w:val="nil"/>
              <w:left w:val="nil"/>
              <w:bottom w:val="nil"/>
              <w:right w:val="nil"/>
            </w:tcBorders>
            <w:shd w:val="clear" w:color="auto" w:fill="auto"/>
            <w:noWrap/>
            <w:vAlign w:val="bottom"/>
            <w:hideMark/>
          </w:tcPr>
          <w:p w14:paraId="4995B06C"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Leu</w:t>
            </w:r>
            <w:proofErr w:type="spellEnd"/>
          </w:p>
        </w:tc>
        <w:tc>
          <w:tcPr>
            <w:tcW w:w="2610" w:type="dxa"/>
            <w:tcBorders>
              <w:top w:val="nil"/>
              <w:left w:val="nil"/>
              <w:bottom w:val="nil"/>
              <w:right w:val="nil"/>
            </w:tcBorders>
            <w:shd w:val="clear" w:color="auto" w:fill="auto"/>
            <w:noWrap/>
            <w:vAlign w:val="bottom"/>
            <w:hideMark/>
          </w:tcPr>
          <w:p w14:paraId="0E9DF15C"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TTG/UUG</w:t>
            </w:r>
          </w:p>
        </w:tc>
        <w:tc>
          <w:tcPr>
            <w:tcW w:w="2520" w:type="dxa"/>
            <w:tcBorders>
              <w:top w:val="nil"/>
              <w:left w:val="nil"/>
              <w:bottom w:val="nil"/>
              <w:right w:val="nil"/>
            </w:tcBorders>
            <w:shd w:val="clear" w:color="auto" w:fill="auto"/>
            <w:noWrap/>
            <w:vAlign w:val="bottom"/>
            <w:hideMark/>
          </w:tcPr>
          <w:p w14:paraId="5C410CE5"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CUU</w:t>
            </w:r>
          </w:p>
        </w:tc>
        <w:tc>
          <w:tcPr>
            <w:tcW w:w="2610" w:type="dxa"/>
            <w:tcBorders>
              <w:top w:val="nil"/>
              <w:left w:val="nil"/>
              <w:bottom w:val="nil"/>
              <w:right w:val="nil"/>
            </w:tcBorders>
            <w:shd w:val="clear" w:color="auto" w:fill="auto"/>
            <w:noWrap/>
            <w:vAlign w:val="bottom"/>
            <w:hideMark/>
          </w:tcPr>
          <w:p w14:paraId="4698890E" w14:textId="77777777" w:rsidR="00F11B58" w:rsidRPr="00F11B58" w:rsidRDefault="00F11B58" w:rsidP="00F11B58">
            <w:pPr>
              <w:rPr>
                <w:rFonts w:ascii="Calibri" w:eastAsia="Times New Roman" w:hAnsi="Calibri"/>
                <w:color w:val="000000"/>
              </w:rPr>
            </w:pPr>
          </w:p>
        </w:tc>
      </w:tr>
      <w:tr w:rsidR="00F11B58" w:rsidRPr="00F11B58" w14:paraId="00C6FC47" w14:textId="77777777" w:rsidTr="00F11B58">
        <w:trPr>
          <w:trHeight w:val="300"/>
        </w:trPr>
        <w:tc>
          <w:tcPr>
            <w:tcW w:w="1440" w:type="dxa"/>
            <w:tcBorders>
              <w:top w:val="nil"/>
              <w:left w:val="nil"/>
              <w:bottom w:val="nil"/>
              <w:right w:val="nil"/>
            </w:tcBorders>
            <w:shd w:val="clear" w:color="auto" w:fill="auto"/>
            <w:noWrap/>
            <w:vAlign w:val="bottom"/>
            <w:hideMark/>
          </w:tcPr>
          <w:p w14:paraId="67ACA533"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654A943B" w14:textId="77777777" w:rsidR="00F11B58" w:rsidRPr="00F11B58" w:rsidRDefault="00F11B58" w:rsidP="00F11B58">
            <w:pPr>
              <w:rPr>
                <w:rFonts w:ascii="Calibri" w:eastAsia="Times New Roman" w:hAnsi="Calibri"/>
                <w:color w:val="000000"/>
              </w:rPr>
            </w:pPr>
            <w:r>
              <w:rPr>
                <w:rFonts w:ascii="Calibri" w:eastAsia="Times New Roman" w:hAnsi="Calibri"/>
                <w:color w:val="000000"/>
              </w:rPr>
              <w:t>-</w:t>
            </w:r>
          </w:p>
        </w:tc>
        <w:tc>
          <w:tcPr>
            <w:tcW w:w="2520" w:type="dxa"/>
            <w:tcBorders>
              <w:top w:val="nil"/>
              <w:left w:val="nil"/>
              <w:bottom w:val="nil"/>
              <w:right w:val="nil"/>
            </w:tcBorders>
            <w:shd w:val="clear" w:color="auto" w:fill="auto"/>
            <w:noWrap/>
            <w:vAlign w:val="bottom"/>
            <w:hideMark/>
          </w:tcPr>
          <w:p w14:paraId="79257B3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CUC</w:t>
            </w:r>
          </w:p>
        </w:tc>
        <w:tc>
          <w:tcPr>
            <w:tcW w:w="2610" w:type="dxa"/>
            <w:tcBorders>
              <w:top w:val="nil"/>
              <w:left w:val="nil"/>
              <w:bottom w:val="nil"/>
              <w:right w:val="nil"/>
            </w:tcBorders>
            <w:shd w:val="clear" w:color="auto" w:fill="auto"/>
            <w:noWrap/>
            <w:vAlign w:val="bottom"/>
            <w:hideMark/>
          </w:tcPr>
          <w:p w14:paraId="2DF3E5E3" w14:textId="77777777" w:rsidR="00F11B58" w:rsidRPr="00F11B58" w:rsidRDefault="00F11B58" w:rsidP="00F11B58">
            <w:pPr>
              <w:rPr>
                <w:rFonts w:ascii="Calibri" w:eastAsia="Times New Roman" w:hAnsi="Calibri"/>
                <w:color w:val="000000"/>
              </w:rPr>
            </w:pPr>
          </w:p>
        </w:tc>
      </w:tr>
      <w:tr w:rsidR="00F11B58" w:rsidRPr="00F11B58" w14:paraId="691502E7" w14:textId="77777777" w:rsidTr="00F11B58">
        <w:trPr>
          <w:trHeight w:val="300"/>
        </w:trPr>
        <w:tc>
          <w:tcPr>
            <w:tcW w:w="1440" w:type="dxa"/>
            <w:tcBorders>
              <w:top w:val="nil"/>
              <w:left w:val="nil"/>
              <w:bottom w:val="nil"/>
              <w:right w:val="nil"/>
            </w:tcBorders>
            <w:shd w:val="clear" w:color="auto" w:fill="auto"/>
            <w:noWrap/>
            <w:vAlign w:val="bottom"/>
            <w:hideMark/>
          </w:tcPr>
          <w:p w14:paraId="6CC8D5DB"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Asn</w:t>
            </w:r>
            <w:proofErr w:type="spellEnd"/>
          </w:p>
        </w:tc>
        <w:tc>
          <w:tcPr>
            <w:tcW w:w="2610" w:type="dxa"/>
            <w:tcBorders>
              <w:top w:val="nil"/>
              <w:left w:val="nil"/>
              <w:bottom w:val="nil"/>
              <w:right w:val="nil"/>
            </w:tcBorders>
            <w:shd w:val="clear" w:color="auto" w:fill="auto"/>
            <w:noWrap/>
            <w:vAlign w:val="bottom"/>
            <w:hideMark/>
          </w:tcPr>
          <w:p w14:paraId="6FC116E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AAC</w:t>
            </w:r>
          </w:p>
        </w:tc>
        <w:tc>
          <w:tcPr>
            <w:tcW w:w="2520" w:type="dxa"/>
            <w:tcBorders>
              <w:top w:val="nil"/>
              <w:left w:val="nil"/>
              <w:bottom w:val="nil"/>
              <w:right w:val="nil"/>
            </w:tcBorders>
            <w:shd w:val="clear" w:color="auto" w:fill="auto"/>
            <w:noWrap/>
            <w:vAlign w:val="bottom"/>
            <w:hideMark/>
          </w:tcPr>
          <w:p w14:paraId="5D97F03C"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AAC</w:t>
            </w:r>
          </w:p>
        </w:tc>
        <w:tc>
          <w:tcPr>
            <w:tcW w:w="2610" w:type="dxa"/>
            <w:tcBorders>
              <w:top w:val="nil"/>
              <w:left w:val="nil"/>
              <w:bottom w:val="nil"/>
              <w:right w:val="nil"/>
            </w:tcBorders>
            <w:shd w:val="clear" w:color="auto" w:fill="auto"/>
            <w:noWrap/>
            <w:vAlign w:val="bottom"/>
            <w:hideMark/>
          </w:tcPr>
          <w:p w14:paraId="28E80BAF"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02BFBF82" w14:textId="77777777" w:rsidTr="00F11B58">
        <w:trPr>
          <w:trHeight w:val="300"/>
        </w:trPr>
        <w:tc>
          <w:tcPr>
            <w:tcW w:w="1440" w:type="dxa"/>
            <w:tcBorders>
              <w:top w:val="nil"/>
              <w:left w:val="nil"/>
              <w:bottom w:val="nil"/>
              <w:right w:val="nil"/>
            </w:tcBorders>
            <w:shd w:val="clear" w:color="auto" w:fill="auto"/>
            <w:noWrap/>
            <w:vAlign w:val="bottom"/>
            <w:hideMark/>
          </w:tcPr>
          <w:p w14:paraId="661D38F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Pro</w:t>
            </w:r>
          </w:p>
        </w:tc>
        <w:tc>
          <w:tcPr>
            <w:tcW w:w="2610" w:type="dxa"/>
            <w:tcBorders>
              <w:top w:val="nil"/>
              <w:left w:val="nil"/>
              <w:bottom w:val="nil"/>
              <w:right w:val="nil"/>
            </w:tcBorders>
            <w:shd w:val="clear" w:color="auto" w:fill="auto"/>
            <w:noWrap/>
            <w:vAlign w:val="bottom"/>
            <w:hideMark/>
          </w:tcPr>
          <w:p w14:paraId="0A1EA4BD"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CCA</w:t>
            </w:r>
          </w:p>
        </w:tc>
        <w:tc>
          <w:tcPr>
            <w:tcW w:w="2520" w:type="dxa"/>
            <w:tcBorders>
              <w:top w:val="nil"/>
              <w:left w:val="nil"/>
              <w:bottom w:val="nil"/>
              <w:right w:val="nil"/>
            </w:tcBorders>
            <w:shd w:val="clear" w:color="auto" w:fill="auto"/>
            <w:noWrap/>
            <w:vAlign w:val="bottom"/>
            <w:hideMark/>
          </w:tcPr>
          <w:p w14:paraId="54A28DB2"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CCA</w:t>
            </w:r>
          </w:p>
        </w:tc>
        <w:tc>
          <w:tcPr>
            <w:tcW w:w="2610" w:type="dxa"/>
            <w:tcBorders>
              <w:top w:val="nil"/>
              <w:left w:val="nil"/>
              <w:bottom w:val="nil"/>
              <w:right w:val="nil"/>
            </w:tcBorders>
            <w:shd w:val="clear" w:color="auto" w:fill="auto"/>
            <w:noWrap/>
            <w:vAlign w:val="bottom"/>
            <w:hideMark/>
          </w:tcPr>
          <w:p w14:paraId="7B22D7DA"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3E3F51D8" w14:textId="77777777" w:rsidTr="00F11B58">
        <w:trPr>
          <w:trHeight w:val="300"/>
        </w:trPr>
        <w:tc>
          <w:tcPr>
            <w:tcW w:w="1440" w:type="dxa"/>
            <w:tcBorders>
              <w:top w:val="nil"/>
              <w:left w:val="nil"/>
              <w:bottom w:val="nil"/>
              <w:right w:val="nil"/>
            </w:tcBorders>
            <w:shd w:val="clear" w:color="auto" w:fill="auto"/>
            <w:noWrap/>
            <w:vAlign w:val="bottom"/>
            <w:hideMark/>
          </w:tcPr>
          <w:p w14:paraId="112294B4"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Gln</w:t>
            </w:r>
            <w:proofErr w:type="spellEnd"/>
          </w:p>
        </w:tc>
        <w:tc>
          <w:tcPr>
            <w:tcW w:w="2610" w:type="dxa"/>
            <w:tcBorders>
              <w:top w:val="nil"/>
              <w:left w:val="nil"/>
              <w:bottom w:val="nil"/>
              <w:right w:val="nil"/>
            </w:tcBorders>
            <w:shd w:val="clear" w:color="auto" w:fill="auto"/>
            <w:noWrap/>
            <w:vAlign w:val="bottom"/>
            <w:hideMark/>
          </w:tcPr>
          <w:p w14:paraId="76AF72E4"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CAA</w:t>
            </w:r>
          </w:p>
        </w:tc>
        <w:tc>
          <w:tcPr>
            <w:tcW w:w="2520" w:type="dxa"/>
            <w:tcBorders>
              <w:top w:val="nil"/>
              <w:left w:val="nil"/>
              <w:bottom w:val="nil"/>
              <w:right w:val="nil"/>
            </w:tcBorders>
            <w:shd w:val="clear" w:color="auto" w:fill="auto"/>
            <w:noWrap/>
            <w:vAlign w:val="bottom"/>
            <w:hideMark/>
          </w:tcPr>
          <w:p w14:paraId="43D779D5" w14:textId="77777777" w:rsidR="00F11B58" w:rsidRPr="0023361C" w:rsidRDefault="00F11B58" w:rsidP="00F11B58">
            <w:pPr>
              <w:rPr>
                <w:rFonts w:ascii="Calibri" w:eastAsia="Times New Roman" w:hAnsi="Calibri"/>
                <w:color w:val="000000"/>
              </w:rPr>
            </w:pPr>
            <w:r w:rsidRPr="00F11B58">
              <w:rPr>
                <w:rFonts w:ascii="Calibri" w:eastAsia="Times New Roman" w:hAnsi="Calibri"/>
                <w:color w:val="000000"/>
              </w:rPr>
              <w:t>CAG</w:t>
            </w:r>
            <w:r w:rsidR="0023361C">
              <w:rPr>
                <w:rFonts w:ascii="Calibri" w:eastAsia="Times New Roman" w:hAnsi="Calibri"/>
                <w:color w:val="000000"/>
                <w:vertAlign w:val="superscript"/>
              </w:rPr>
              <w:t>2</w:t>
            </w:r>
          </w:p>
        </w:tc>
        <w:tc>
          <w:tcPr>
            <w:tcW w:w="2610" w:type="dxa"/>
            <w:tcBorders>
              <w:top w:val="nil"/>
              <w:left w:val="nil"/>
              <w:bottom w:val="nil"/>
              <w:right w:val="nil"/>
            </w:tcBorders>
            <w:shd w:val="clear" w:color="auto" w:fill="auto"/>
            <w:noWrap/>
            <w:vAlign w:val="bottom"/>
            <w:hideMark/>
          </w:tcPr>
          <w:p w14:paraId="3C69B486" w14:textId="77777777" w:rsidR="00F11B58" w:rsidRPr="00F11B58" w:rsidRDefault="00F11B58" w:rsidP="00F11B58">
            <w:pPr>
              <w:rPr>
                <w:rFonts w:ascii="Calibri" w:eastAsia="Times New Roman" w:hAnsi="Calibri"/>
                <w:color w:val="000000"/>
              </w:rPr>
            </w:pPr>
          </w:p>
        </w:tc>
      </w:tr>
      <w:tr w:rsidR="00F11B58" w:rsidRPr="00F11B58" w14:paraId="4E62ABFA" w14:textId="77777777" w:rsidTr="00F11B58">
        <w:trPr>
          <w:trHeight w:val="300"/>
        </w:trPr>
        <w:tc>
          <w:tcPr>
            <w:tcW w:w="1440" w:type="dxa"/>
            <w:tcBorders>
              <w:top w:val="nil"/>
              <w:left w:val="nil"/>
              <w:bottom w:val="nil"/>
              <w:right w:val="nil"/>
            </w:tcBorders>
            <w:shd w:val="clear" w:color="auto" w:fill="auto"/>
            <w:noWrap/>
            <w:vAlign w:val="bottom"/>
            <w:hideMark/>
          </w:tcPr>
          <w:p w14:paraId="1E33AB28"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Arg</w:t>
            </w:r>
            <w:proofErr w:type="spellEnd"/>
          </w:p>
        </w:tc>
        <w:tc>
          <w:tcPr>
            <w:tcW w:w="2610" w:type="dxa"/>
            <w:tcBorders>
              <w:top w:val="nil"/>
              <w:left w:val="nil"/>
              <w:bottom w:val="nil"/>
              <w:right w:val="nil"/>
            </w:tcBorders>
            <w:shd w:val="clear" w:color="auto" w:fill="auto"/>
            <w:noWrap/>
            <w:vAlign w:val="bottom"/>
            <w:hideMark/>
          </w:tcPr>
          <w:p w14:paraId="3F39CF49"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AGA</w:t>
            </w:r>
          </w:p>
        </w:tc>
        <w:tc>
          <w:tcPr>
            <w:tcW w:w="2520" w:type="dxa"/>
            <w:tcBorders>
              <w:top w:val="nil"/>
              <w:left w:val="nil"/>
              <w:bottom w:val="nil"/>
              <w:right w:val="nil"/>
            </w:tcBorders>
            <w:shd w:val="clear" w:color="auto" w:fill="auto"/>
            <w:noWrap/>
            <w:vAlign w:val="bottom"/>
            <w:hideMark/>
          </w:tcPr>
          <w:p w14:paraId="27D1EE6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CGU</w:t>
            </w:r>
          </w:p>
        </w:tc>
        <w:tc>
          <w:tcPr>
            <w:tcW w:w="2610" w:type="dxa"/>
            <w:tcBorders>
              <w:top w:val="nil"/>
              <w:left w:val="nil"/>
              <w:bottom w:val="nil"/>
              <w:right w:val="nil"/>
            </w:tcBorders>
            <w:shd w:val="clear" w:color="auto" w:fill="auto"/>
            <w:noWrap/>
            <w:vAlign w:val="bottom"/>
            <w:hideMark/>
          </w:tcPr>
          <w:p w14:paraId="3BB29DF6" w14:textId="77777777" w:rsidR="00F11B58" w:rsidRPr="00F11B58" w:rsidRDefault="00F11B58" w:rsidP="00F11B58">
            <w:pPr>
              <w:rPr>
                <w:rFonts w:ascii="Calibri" w:eastAsia="Times New Roman" w:hAnsi="Calibri"/>
                <w:color w:val="000000"/>
              </w:rPr>
            </w:pPr>
          </w:p>
        </w:tc>
      </w:tr>
      <w:tr w:rsidR="00F11B58" w:rsidRPr="00F11B58" w14:paraId="31200126" w14:textId="77777777" w:rsidTr="00F11B58">
        <w:trPr>
          <w:trHeight w:val="300"/>
        </w:trPr>
        <w:tc>
          <w:tcPr>
            <w:tcW w:w="1440" w:type="dxa"/>
            <w:tcBorders>
              <w:top w:val="nil"/>
              <w:left w:val="nil"/>
              <w:bottom w:val="nil"/>
              <w:right w:val="nil"/>
            </w:tcBorders>
            <w:shd w:val="clear" w:color="auto" w:fill="auto"/>
            <w:noWrap/>
            <w:vAlign w:val="bottom"/>
            <w:hideMark/>
          </w:tcPr>
          <w:p w14:paraId="3A6C65D8"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6B8BE901" w14:textId="77777777" w:rsidR="00F11B58" w:rsidRPr="00F11B58" w:rsidRDefault="00F11B58" w:rsidP="00F11B58">
            <w:pPr>
              <w:rPr>
                <w:rFonts w:ascii="Calibri" w:eastAsia="Times New Roman" w:hAnsi="Calibri"/>
                <w:color w:val="000000"/>
              </w:rPr>
            </w:pPr>
            <w:r>
              <w:rPr>
                <w:rFonts w:ascii="Calibri" w:eastAsia="Times New Roman" w:hAnsi="Calibri"/>
                <w:color w:val="000000"/>
              </w:rPr>
              <w:t>-</w:t>
            </w:r>
          </w:p>
        </w:tc>
        <w:tc>
          <w:tcPr>
            <w:tcW w:w="2520" w:type="dxa"/>
            <w:tcBorders>
              <w:top w:val="nil"/>
              <w:left w:val="nil"/>
              <w:bottom w:val="nil"/>
              <w:right w:val="nil"/>
            </w:tcBorders>
            <w:shd w:val="clear" w:color="auto" w:fill="auto"/>
            <w:noWrap/>
            <w:vAlign w:val="bottom"/>
            <w:hideMark/>
          </w:tcPr>
          <w:p w14:paraId="7176CDE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CGC</w:t>
            </w:r>
          </w:p>
        </w:tc>
        <w:tc>
          <w:tcPr>
            <w:tcW w:w="2610" w:type="dxa"/>
            <w:tcBorders>
              <w:top w:val="nil"/>
              <w:left w:val="nil"/>
              <w:bottom w:val="nil"/>
              <w:right w:val="nil"/>
            </w:tcBorders>
            <w:shd w:val="clear" w:color="auto" w:fill="auto"/>
            <w:noWrap/>
            <w:vAlign w:val="bottom"/>
            <w:hideMark/>
          </w:tcPr>
          <w:p w14:paraId="75C5677C" w14:textId="77777777" w:rsidR="00F11B58" w:rsidRPr="00F11B58" w:rsidRDefault="00F11B58" w:rsidP="00F11B58">
            <w:pPr>
              <w:rPr>
                <w:rFonts w:ascii="Calibri" w:eastAsia="Times New Roman" w:hAnsi="Calibri"/>
                <w:color w:val="000000"/>
              </w:rPr>
            </w:pPr>
          </w:p>
        </w:tc>
      </w:tr>
      <w:tr w:rsidR="00F11B58" w:rsidRPr="00F11B58" w14:paraId="2F172A81" w14:textId="77777777" w:rsidTr="00F11B58">
        <w:trPr>
          <w:trHeight w:val="300"/>
        </w:trPr>
        <w:tc>
          <w:tcPr>
            <w:tcW w:w="1440" w:type="dxa"/>
            <w:tcBorders>
              <w:top w:val="nil"/>
              <w:left w:val="nil"/>
              <w:bottom w:val="nil"/>
              <w:right w:val="nil"/>
            </w:tcBorders>
            <w:shd w:val="clear" w:color="auto" w:fill="auto"/>
            <w:noWrap/>
            <w:vAlign w:val="bottom"/>
            <w:hideMark/>
          </w:tcPr>
          <w:p w14:paraId="33D8E772" w14:textId="77777777" w:rsidR="00F11B58" w:rsidRPr="0023361C" w:rsidRDefault="00F11B58" w:rsidP="00F11B58">
            <w:pPr>
              <w:rPr>
                <w:rFonts w:ascii="Calibri" w:eastAsia="Times New Roman" w:hAnsi="Calibri"/>
                <w:color w:val="000000"/>
                <w:vertAlign w:val="subscript"/>
              </w:rPr>
            </w:pPr>
            <w:r w:rsidRPr="00F11B58">
              <w:rPr>
                <w:rFonts w:ascii="Calibri" w:eastAsia="Times New Roman" w:hAnsi="Calibri"/>
                <w:color w:val="000000"/>
              </w:rPr>
              <w:t>Ser</w:t>
            </w:r>
            <w:r w:rsidR="0023361C">
              <w:rPr>
                <w:rFonts w:ascii="Calibri" w:eastAsia="Times New Roman" w:hAnsi="Calibri"/>
                <w:color w:val="000000"/>
                <w:vertAlign w:val="subscript"/>
              </w:rPr>
              <w:t>4</w:t>
            </w:r>
          </w:p>
        </w:tc>
        <w:tc>
          <w:tcPr>
            <w:tcW w:w="2610" w:type="dxa"/>
            <w:tcBorders>
              <w:top w:val="nil"/>
              <w:left w:val="nil"/>
              <w:bottom w:val="nil"/>
              <w:right w:val="nil"/>
            </w:tcBorders>
            <w:shd w:val="clear" w:color="auto" w:fill="auto"/>
            <w:noWrap/>
            <w:vAlign w:val="bottom"/>
            <w:hideMark/>
          </w:tcPr>
          <w:p w14:paraId="2333D5AF"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TCC/UCC</w:t>
            </w:r>
          </w:p>
        </w:tc>
        <w:tc>
          <w:tcPr>
            <w:tcW w:w="2520" w:type="dxa"/>
            <w:tcBorders>
              <w:top w:val="nil"/>
              <w:left w:val="nil"/>
              <w:bottom w:val="nil"/>
              <w:right w:val="nil"/>
            </w:tcBorders>
            <w:shd w:val="clear" w:color="auto" w:fill="auto"/>
            <w:noWrap/>
            <w:vAlign w:val="bottom"/>
            <w:hideMark/>
          </w:tcPr>
          <w:p w14:paraId="1699692D"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UCC</w:t>
            </w:r>
          </w:p>
        </w:tc>
        <w:tc>
          <w:tcPr>
            <w:tcW w:w="2610" w:type="dxa"/>
            <w:tcBorders>
              <w:top w:val="nil"/>
              <w:left w:val="nil"/>
              <w:bottom w:val="nil"/>
              <w:right w:val="nil"/>
            </w:tcBorders>
            <w:shd w:val="clear" w:color="auto" w:fill="auto"/>
            <w:noWrap/>
            <w:vAlign w:val="bottom"/>
            <w:hideMark/>
          </w:tcPr>
          <w:p w14:paraId="1664AB95"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43441DA3" w14:textId="77777777" w:rsidTr="00F11B58">
        <w:trPr>
          <w:trHeight w:val="300"/>
        </w:trPr>
        <w:tc>
          <w:tcPr>
            <w:tcW w:w="1440" w:type="dxa"/>
            <w:tcBorders>
              <w:top w:val="nil"/>
              <w:left w:val="nil"/>
              <w:bottom w:val="nil"/>
              <w:right w:val="nil"/>
            </w:tcBorders>
            <w:shd w:val="clear" w:color="auto" w:fill="auto"/>
            <w:noWrap/>
            <w:vAlign w:val="bottom"/>
            <w:hideMark/>
          </w:tcPr>
          <w:p w14:paraId="26C65342"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2174CDE4" w14:textId="77777777" w:rsidR="00F11B58" w:rsidRPr="0023361C" w:rsidRDefault="0023361C" w:rsidP="00F11B58">
            <w:pPr>
              <w:rPr>
                <w:rFonts w:ascii="Calibri" w:eastAsia="Times New Roman" w:hAnsi="Calibri"/>
                <w:color w:val="000000"/>
                <w:vertAlign w:val="superscript"/>
              </w:rPr>
            </w:pPr>
            <w:r>
              <w:rPr>
                <w:rFonts w:ascii="Calibri" w:eastAsia="Times New Roman" w:hAnsi="Calibri"/>
                <w:color w:val="000000"/>
              </w:rPr>
              <w:t>TCT/UCU</w:t>
            </w:r>
            <w:r>
              <w:rPr>
                <w:rFonts w:ascii="Calibri" w:eastAsia="Times New Roman" w:hAnsi="Calibri"/>
                <w:color w:val="000000"/>
                <w:vertAlign w:val="superscript"/>
              </w:rPr>
              <w:t>1</w:t>
            </w:r>
          </w:p>
        </w:tc>
        <w:tc>
          <w:tcPr>
            <w:tcW w:w="2520" w:type="dxa"/>
            <w:tcBorders>
              <w:top w:val="nil"/>
              <w:left w:val="nil"/>
              <w:bottom w:val="nil"/>
              <w:right w:val="nil"/>
            </w:tcBorders>
            <w:shd w:val="clear" w:color="auto" w:fill="auto"/>
            <w:noWrap/>
            <w:vAlign w:val="bottom"/>
            <w:hideMark/>
          </w:tcPr>
          <w:p w14:paraId="190B5F2D" w14:textId="77777777" w:rsidR="00F11B58" w:rsidRPr="0023361C" w:rsidRDefault="00F11B58" w:rsidP="00F11B58">
            <w:pPr>
              <w:rPr>
                <w:rFonts w:ascii="Calibri" w:eastAsia="Times New Roman" w:hAnsi="Calibri"/>
                <w:color w:val="000000"/>
              </w:rPr>
            </w:pPr>
            <w:r w:rsidRPr="00F11B58">
              <w:rPr>
                <w:rFonts w:ascii="Calibri" w:eastAsia="Times New Roman" w:hAnsi="Calibri"/>
                <w:color w:val="000000"/>
              </w:rPr>
              <w:t>UCU</w:t>
            </w:r>
            <w:r w:rsidR="0023361C">
              <w:rPr>
                <w:rFonts w:ascii="Calibri" w:eastAsia="Times New Roman" w:hAnsi="Calibri"/>
                <w:color w:val="000000"/>
                <w:vertAlign w:val="superscript"/>
              </w:rPr>
              <w:t>2</w:t>
            </w:r>
          </w:p>
        </w:tc>
        <w:tc>
          <w:tcPr>
            <w:tcW w:w="2610" w:type="dxa"/>
            <w:tcBorders>
              <w:top w:val="nil"/>
              <w:left w:val="nil"/>
              <w:bottom w:val="nil"/>
              <w:right w:val="nil"/>
            </w:tcBorders>
            <w:shd w:val="clear" w:color="auto" w:fill="auto"/>
            <w:noWrap/>
            <w:vAlign w:val="bottom"/>
            <w:hideMark/>
          </w:tcPr>
          <w:p w14:paraId="644EEF6D"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563D55BB" w14:textId="77777777" w:rsidTr="00F11B58">
        <w:trPr>
          <w:trHeight w:val="300"/>
        </w:trPr>
        <w:tc>
          <w:tcPr>
            <w:tcW w:w="1440" w:type="dxa"/>
            <w:tcBorders>
              <w:top w:val="nil"/>
              <w:left w:val="nil"/>
              <w:bottom w:val="nil"/>
              <w:right w:val="nil"/>
            </w:tcBorders>
            <w:shd w:val="clear" w:color="auto" w:fill="auto"/>
            <w:noWrap/>
            <w:vAlign w:val="bottom"/>
            <w:hideMark/>
          </w:tcPr>
          <w:p w14:paraId="2731C56A" w14:textId="77777777" w:rsidR="00F11B58" w:rsidRPr="0023361C" w:rsidRDefault="00F11B58" w:rsidP="00F11B58">
            <w:pPr>
              <w:rPr>
                <w:rFonts w:ascii="Calibri" w:eastAsia="Times New Roman" w:hAnsi="Calibri"/>
                <w:color w:val="000000"/>
              </w:rPr>
            </w:pPr>
            <w:r w:rsidRPr="00F11B58">
              <w:rPr>
                <w:rFonts w:ascii="Calibri" w:eastAsia="Times New Roman" w:hAnsi="Calibri"/>
                <w:color w:val="000000"/>
              </w:rPr>
              <w:t>Ser</w:t>
            </w:r>
            <w:r w:rsidR="0023361C">
              <w:rPr>
                <w:rFonts w:ascii="Calibri" w:eastAsia="Times New Roman" w:hAnsi="Calibri"/>
                <w:color w:val="000000"/>
                <w:vertAlign w:val="subscript"/>
              </w:rPr>
              <w:t>2</w:t>
            </w:r>
          </w:p>
        </w:tc>
        <w:tc>
          <w:tcPr>
            <w:tcW w:w="2610" w:type="dxa"/>
            <w:tcBorders>
              <w:top w:val="nil"/>
              <w:left w:val="nil"/>
              <w:bottom w:val="nil"/>
              <w:right w:val="nil"/>
            </w:tcBorders>
            <w:shd w:val="clear" w:color="auto" w:fill="auto"/>
            <w:noWrap/>
            <w:vAlign w:val="bottom"/>
            <w:hideMark/>
          </w:tcPr>
          <w:p w14:paraId="3B6F4D1F"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AGT/AGU</w:t>
            </w:r>
          </w:p>
        </w:tc>
        <w:tc>
          <w:tcPr>
            <w:tcW w:w="2520" w:type="dxa"/>
            <w:tcBorders>
              <w:top w:val="nil"/>
              <w:left w:val="nil"/>
              <w:bottom w:val="nil"/>
              <w:right w:val="nil"/>
            </w:tcBorders>
            <w:shd w:val="clear" w:color="auto" w:fill="auto"/>
            <w:noWrap/>
            <w:vAlign w:val="bottom"/>
            <w:hideMark/>
          </w:tcPr>
          <w:p w14:paraId="37EE8165"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w:t>
            </w:r>
          </w:p>
        </w:tc>
        <w:tc>
          <w:tcPr>
            <w:tcW w:w="2610" w:type="dxa"/>
            <w:tcBorders>
              <w:top w:val="nil"/>
              <w:left w:val="nil"/>
              <w:bottom w:val="nil"/>
              <w:right w:val="nil"/>
            </w:tcBorders>
            <w:shd w:val="clear" w:color="auto" w:fill="auto"/>
            <w:noWrap/>
            <w:vAlign w:val="bottom"/>
            <w:hideMark/>
          </w:tcPr>
          <w:p w14:paraId="53E6BF14" w14:textId="77777777" w:rsidR="00F11B58" w:rsidRPr="00F11B58" w:rsidRDefault="00F11B58" w:rsidP="00F11B58">
            <w:pPr>
              <w:rPr>
                <w:rFonts w:ascii="Calibri" w:eastAsia="Times New Roman" w:hAnsi="Calibri"/>
                <w:color w:val="000000"/>
              </w:rPr>
            </w:pPr>
          </w:p>
        </w:tc>
      </w:tr>
      <w:tr w:rsidR="00F11B58" w:rsidRPr="00F11B58" w14:paraId="1A2D8FBF" w14:textId="77777777" w:rsidTr="00F11B58">
        <w:trPr>
          <w:trHeight w:val="300"/>
        </w:trPr>
        <w:tc>
          <w:tcPr>
            <w:tcW w:w="1440" w:type="dxa"/>
            <w:tcBorders>
              <w:top w:val="nil"/>
              <w:left w:val="nil"/>
              <w:bottom w:val="nil"/>
              <w:right w:val="nil"/>
            </w:tcBorders>
            <w:shd w:val="clear" w:color="auto" w:fill="auto"/>
            <w:noWrap/>
            <w:vAlign w:val="bottom"/>
            <w:hideMark/>
          </w:tcPr>
          <w:p w14:paraId="0A0EBD41"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727F23AD" w14:textId="77777777" w:rsidR="00F11B58" w:rsidRPr="0023361C" w:rsidRDefault="0023361C" w:rsidP="00F11B58">
            <w:pPr>
              <w:rPr>
                <w:rFonts w:ascii="Calibri" w:eastAsia="Times New Roman" w:hAnsi="Calibri"/>
                <w:color w:val="000000"/>
                <w:vertAlign w:val="superscript"/>
              </w:rPr>
            </w:pPr>
            <w:r>
              <w:rPr>
                <w:rFonts w:ascii="Calibri" w:eastAsia="Times New Roman" w:hAnsi="Calibri"/>
                <w:color w:val="000000"/>
              </w:rPr>
              <w:t>AGC</w:t>
            </w:r>
            <w:r>
              <w:rPr>
                <w:rFonts w:ascii="Calibri" w:eastAsia="Times New Roman" w:hAnsi="Calibri"/>
                <w:color w:val="000000"/>
                <w:vertAlign w:val="superscript"/>
              </w:rPr>
              <w:t>1</w:t>
            </w:r>
          </w:p>
        </w:tc>
        <w:tc>
          <w:tcPr>
            <w:tcW w:w="2520" w:type="dxa"/>
            <w:tcBorders>
              <w:top w:val="nil"/>
              <w:left w:val="nil"/>
              <w:bottom w:val="nil"/>
              <w:right w:val="nil"/>
            </w:tcBorders>
            <w:shd w:val="clear" w:color="auto" w:fill="auto"/>
            <w:noWrap/>
            <w:vAlign w:val="bottom"/>
            <w:hideMark/>
          </w:tcPr>
          <w:p w14:paraId="1288A57A"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w:t>
            </w:r>
          </w:p>
        </w:tc>
        <w:tc>
          <w:tcPr>
            <w:tcW w:w="2610" w:type="dxa"/>
            <w:tcBorders>
              <w:top w:val="nil"/>
              <w:left w:val="nil"/>
              <w:bottom w:val="nil"/>
              <w:right w:val="nil"/>
            </w:tcBorders>
            <w:shd w:val="clear" w:color="auto" w:fill="auto"/>
            <w:noWrap/>
            <w:vAlign w:val="bottom"/>
            <w:hideMark/>
          </w:tcPr>
          <w:p w14:paraId="1F40F617" w14:textId="77777777" w:rsidR="00F11B58" w:rsidRPr="00F11B58" w:rsidRDefault="00F11B58" w:rsidP="00F11B58">
            <w:pPr>
              <w:rPr>
                <w:rFonts w:ascii="Calibri" w:eastAsia="Times New Roman" w:hAnsi="Calibri"/>
                <w:color w:val="000000"/>
              </w:rPr>
            </w:pPr>
          </w:p>
        </w:tc>
      </w:tr>
      <w:tr w:rsidR="00F11B58" w:rsidRPr="00F11B58" w14:paraId="2D9906D3" w14:textId="77777777" w:rsidTr="00F11B58">
        <w:trPr>
          <w:trHeight w:val="300"/>
        </w:trPr>
        <w:tc>
          <w:tcPr>
            <w:tcW w:w="1440" w:type="dxa"/>
            <w:tcBorders>
              <w:top w:val="nil"/>
              <w:left w:val="nil"/>
              <w:bottom w:val="nil"/>
              <w:right w:val="nil"/>
            </w:tcBorders>
            <w:shd w:val="clear" w:color="auto" w:fill="auto"/>
            <w:noWrap/>
            <w:vAlign w:val="bottom"/>
            <w:hideMark/>
          </w:tcPr>
          <w:p w14:paraId="60F05F7C" w14:textId="77777777" w:rsidR="00F11B58" w:rsidRPr="00F11B58" w:rsidRDefault="00F11B58" w:rsidP="00F11B58">
            <w:pPr>
              <w:rPr>
                <w:rFonts w:ascii="Calibri" w:eastAsia="Times New Roman" w:hAnsi="Calibri"/>
                <w:color w:val="000000"/>
              </w:rPr>
            </w:pPr>
            <w:proofErr w:type="spellStart"/>
            <w:r w:rsidRPr="00F11B58">
              <w:rPr>
                <w:rFonts w:ascii="Calibri" w:eastAsia="Times New Roman" w:hAnsi="Calibri"/>
                <w:color w:val="000000"/>
              </w:rPr>
              <w:t>Thr</w:t>
            </w:r>
            <w:proofErr w:type="spellEnd"/>
          </w:p>
        </w:tc>
        <w:tc>
          <w:tcPr>
            <w:tcW w:w="2610" w:type="dxa"/>
            <w:tcBorders>
              <w:top w:val="nil"/>
              <w:left w:val="nil"/>
              <w:bottom w:val="nil"/>
              <w:right w:val="nil"/>
            </w:tcBorders>
            <w:shd w:val="clear" w:color="auto" w:fill="auto"/>
            <w:noWrap/>
            <w:vAlign w:val="bottom"/>
            <w:hideMark/>
          </w:tcPr>
          <w:p w14:paraId="008C14BB"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ACC</w:t>
            </w:r>
          </w:p>
        </w:tc>
        <w:tc>
          <w:tcPr>
            <w:tcW w:w="2520" w:type="dxa"/>
            <w:tcBorders>
              <w:top w:val="nil"/>
              <w:left w:val="nil"/>
              <w:bottom w:val="nil"/>
              <w:right w:val="nil"/>
            </w:tcBorders>
            <w:shd w:val="clear" w:color="auto" w:fill="auto"/>
            <w:noWrap/>
            <w:vAlign w:val="bottom"/>
            <w:hideMark/>
          </w:tcPr>
          <w:p w14:paraId="19040701"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ACC</w:t>
            </w:r>
          </w:p>
        </w:tc>
        <w:tc>
          <w:tcPr>
            <w:tcW w:w="2610" w:type="dxa"/>
            <w:tcBorders>
              <w:top w:val="nil"/>
              <w:left w:val="nil"/>
              <w:bottom w:val="nil"/>
              <w:right w:val="nil"/>
            </w:tcBorders>
            <w:shd w:val="clear" w:color="auto" w:fill="auto"/>
            <w:noWrap/>
            <w:vAlign w:val="bottom"/>
            <w:hideMark/>
          </w:tcPr>
          <w:p w14:paraId="4A8D6643"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1C6F5E14" w14:textId="77777777" w:rsidTr="00F11B58">
        <w:trPr>
          <w:trHeight w:val="300"/>
        </w:trPr>
        <w:tc>
          <w:tcPr>
            <w:tcW w:w="1440" w:type="dxa"/>
            <w:tcBorders>
              <w:top w:val="nil"/>
              <w:left w:val="nil"/>
              <w:bottom w:val="nil"/>
              <w:right w:val="nil"/>
            </w:tcBorders>
            <w:shd w:val="clear" w:color="auto" w:fill="auto"/>
            <w:noWrap/>
            <w:vAlign w:val="bottom"/>
            <w:hideMark/>
          </w:tcPr>
          <w:p w14:paraId="62A78CCA"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50D10DCE" w14:textId="77777777" w:rsidR="00F11B58" w:rsidRPr="0023361C" w:rsidRDefault="00F11B58" w:rsidP="00F11B58">
            <w:pPr>
              <w:rPr>
                <w:rFonts w:ascii="Calibri" w:eastAsia="Times New Roman" w:hAnsi="Calibri"/>
                <w:color w:val="000000"/>
                <w:vertAlign w:val="superscript"/>
              </w:rPr>
            </w:pPr>
            <w:r w:rsidRPr="00F11B58">
              <w:rPr>
                <w:rFonts w:ascii="Calibri" w:eastAsia="Times New Roman" w:hAnsi="Calibri"/>
                <w:color w:val="000000"/>
              </w:rPr>
              <w:t>ACT/ACU</w:t>
            </w:r>
            <w:r w:rsidR="0023361C">
              <w:rPr>
                <w:rFonts w:ascii="Calibri" w:eastAsia="Times New Roman" w:hAnsi="Calibri"/>
                <w:color w:val="000000"/>
                <w:vertAlign w:val="superscript"/>
              </w:rPr>
              <w:t>1</w:t>
            </w:r>
          </w:p>
        </w:tc>
        <w:tc>
          <w:tcPr>
            <w:tcW w:w="2520" w:type="dxa"/>
            <w:tcBorders>
              <w:top w:val="nil"/>
              <w:left w:val="nil"/>
              <w:bottom w:val="nil"/>
              <w:right w:val="nil"/>
            </w:tcBorders>
            <w:shd w:val="clear" w:color="auto" w:fill="auto"/>
            <w:noWrap/>
            <w:vAlign w:val="bottom"/>
            <w:hideMark/>
          </w:tcPr>
          <w:p w14:paraId="7F0B6B4D"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w:t>
            </w:r>
          </w:p>
        </w:tc>
        <w:tc>
          <w:tcPr>
            <w:tcW w:w="2610" w:type="dxa"/>
            <w:tcBorders>
              <w:top w:val="nil"/>
              <w:left w:val="nil"/>
              <w:bottom w:val="nil"/>
              <w:right w:val="nil"/>
            </w:tcBorders>
            <w:shd w:val="clear" w:color="auto" w:fill="auto"/>
            <w:noWrap/>
            <w:vAlign w:val="bottom"/>
            <w:hideMark/>
          </w:tcPr>
          <w:p w14:paraId="74207682" w14:textId="77777777" w:rsidR="00F11B58" w:rsidRPr="00F11B58" w:rsidRDefault="00F11B58" w:rsidP="00F11B58">
            <w:pPr>
              <w:rPr>
                <w:rFonts w:ascii="Calibri" w:eastAsia="Times New Roman" w:hAnsi="Calibri"/>
                <w:color w:val="000000"/>
              </w:rPr>
            </w:pPr>
          </w:p>
        </w:tc>
      </w:tr>
      <w:tr w:rsidR="00F11B58" w:rsidRPr="00F11B58" w14:paraId="3C4A735B" w14:textId="77777777" w:rsidTr="00F11B58">
        <w:trPr>
          <w:trHeight w:val="300"/>
        </w:trPr>
        <w:tc>
          <w:tcPr>
            <w:tcW w:w="1440" w:type="dxa"/>
            <w:tcBorders>
              <w:top w:val="nil"/>
              <w:left w:val="nil"/>
              <w:bottom w:val="nil"/>
              <w:right w:val="nil"/>
            </w:tcBorders>
            <w:shd w:val="clear" w:color="auto" w:fill="auto"/>
            <w:noWrap/>
            <w:vAlign w:val="bottom"/>
            <w:hideMark/>
          </w:tcPr>
          <w:p w14:paraId="7778DAB0"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Val</w:t>
            </w:r>
          </w:p>
        </w:tc>
        <w:tc>
          <w:tcPr>
            <w:tcW w:w="2610" w:type="dxa"/>
            <w:tcBorders>
              <w:top w:val="nil"/>
              <w:left w:val="nil"/>
              <w:bottom w:val="nil"/>
              <w:right w:val="nil"/>
            </w:tcBorders>
            <w:shd w:val="clear" w:color="auto" w:fill="auto"/>
            <w:noWrap/>
            <w:vAlign w:val="bottom"/>
            <w:hideMark/>
          </w:tcPr>
          <w:p w14:paraId="726A7F54"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GTC/GUC</w:t>
            </w:r>
          </w:p>
        </w:tc>
        <w:tc>
          <w:tcPr>
            <w:tcW w:w="2520" w:type="dxa"/>
            <w:tcBorders>
              <w:top w:val="nil"/>
              <w:left w:val="nil"/>
              <w:bottom w:val="nil"/>
              <w:right w:val="nil"/>
            </w:tcBorders>
            <w:shd w:val="clear" w:color="auto" w:fill="auto"/>
            <w:noWrap/>
            <w:vAlign w:val="bottom"/>
            <w:hideMark/>
          </w:tcPr>
          <w:p w14:paraId="7AA3C135"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GUC</w:t>
            </w:r>
          </w:p>
        </w:tc>
        <w:tc>
          <w:tcPr>
            <w:tcW w:w="2610" w:type="dxa"/>
            <w:tcBorders>
              <w:top w:val="nil"/>
              <w:left w:val="nil"/>
              <w:bottom w:val="nil"/>
              <w:right w:val="nil"/>
            </w:tcBorders>
            <w:shd w:val="clear" w:color="auto" w:fill="auto"/>
            <w:noWrap/>
            <w:vAlign w:val="bottom"/>
            <w:hideMark/>
          </w:tcPr>
          <w:p w14:paraId="77380CA8"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r w:rsidR="00F11B58" w:rsidRPr="00F11B58" w14:paraId="5FEC781C" w14:textId="77777777" w:rsidTr="00F11B58">
        <w:trPr>
          <w:trHeight w:val="300"/>
        </w:trPr>
        <w:tc>
          <w:tcPr>
            <w:tcW w:w="1440" w:type="dxa"/>
            <w:tcBorders>
              <w:top w:val="nil"/>
              <w:left w:val="nil"/>
              <w:bottom w:val="nil"/>
              <w:right w:val="nil"/>
            </w:tcBorders>
            <w:shd w:val="clear" w:color="auto" w:fill="auto"/>
            <w:noWrap/>
            <w:vAlign w:val="bottom"/>
            <w:hideMark/>
          </w:tcPr>
          <w:p w14:paraId="0F383A4F" w14:textId="77777777" w:rsidR="00F11B58" w:rsidRPr="00F11B58" w:rsidRDefault="00F11B58" w:rsidP="00F11B58">
            <w:pPr>
              <w:rPr>
                <w:rFonts w:ascii="Calibri" w:eastAsia="Times New Roman" w:hAnsi="Calibri"/>
                <w:color w:val="000000"/>
              </w:rPr>
            </w:pPr>
          </w:p>
        </w:tc>
        <w:tc>
          <w:tcPr>
            <w:tcW w:w="2610" w:type="dxa"/>
            <w:tcBorders>
              <w:top w:val="nil"/>
              <w:left w:val="nil"/>
              <w:bottom w:val="nil"/>
              <w:right w:val="nil"/>
            </w:tcBorders>
            <w:shd w:val="clear" w:color="auto" w:fill="auto"/>
            <w:noWrap/>
            <w:vAlign w:val="bottom"/>
            <w:hideMark/>
          </w:tcPr>
          <w:p w14:paraId="7B21B0C7" w14:textId="77777777" w:rsidR="00F11B58" w:rsidRPr="0023361C" w:rsidRDefault="0023361C" w:rsidP="00F11B58">
            <w:pPr>
              <w:rPr>
                <w:rFonts w:ascii="Calibri" w:eastAsia="Times New Roman" w:hAnsi="Calibri"/>
                <w:color w:val="000000"/>
                <w:vertAlign w:val="superscript"/>
              </w:rPr>
            </w:pPr>
            <w:r>
              <w:rPr>
                <w:rFonts w:ascii="Calibri" w:eastAsia="Times New Roman" w:hAnsi="Calibri"/>
                <w:color w:val="000000"/>
              </w:rPr>
              <w:t>GTT/GUU</w:t>
            </w:r>
            <w:r>
              <w:rPr>
                <w:rFonts w:ascii="Calibri" w:eastAsia="Times New Roman" w:hAnsi="Calibri"/>
                <w:color w:val="000000"/>
                <w:vertAlign w:val="superscript"/>
              </w:rPr>
              <w:t>1</w:t>
            </w:r>
          </w:p>
        </w:tc>
        <w:tc>
          <w:tcPr>
            <w:tcW w:w="2520" w:type="dxa"/>
            <w:tcBorders>
              <w:top w:val="nil"/>
              <w:left w:val="nil"/>
              <w:bottom w:val="nil"/>
              <w:right w:val="nil"/>
            </w:tcBorders>
            <w:shd w:val="clear" w:color="auto" w:fill="auto"/>
            <w:noWrap/>
            <w:vAlign w:val="bottom"/>
            <w:hideMark/>
          </w:tcPr>
          <w:p w14:paraId="5687B874"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w:t>
            </w:r>
          </w:p>
        </w:tc>
        <w:tc>
          <w:tcPr>
            <w:tcW w:w="2610" w:type="dxa"/>
            <w:tcBorders>
              <w:top w:val="nil"/>
              <w:left w:val="nil"/>
              <w:bottom w:val="nil"/>
              <w:right w:val="nil"/>
            </w:tcBorders>
            <w:shd w:val="clear" w:color="auto" w:fill="auto"/>
            <w:noWrap/>
            <w:vAlign w:val="bottom"/>
            <w:hideMark/>
          </w:tcPr>
          <w:p w14:paraId="2FBC2537" w14:textId="77777777" w:rsidR="00F11B58" w:rsidRPr="00F11B58" w:rsidRDefault="00F11B58" w:rsidP="00F11B58">
            <w:pPr>
              <w:rPr>
                <w:rFonts w:ascii="Calibri" w:eastAsia="Times New Roman" w:hAnsi="Calibri"/>
                <w:color w:val="000000"/>
              </w:rPr>
            </w:pPr>
          </w:p>
        </w:tc>
      </w:tr>
      <w:tr w:rsidR="00F11B58" w:rsidRPr="00F11B58" w14:paraId="1F788F49" w14:textId="77777777" w:rsidTr="00F11B58">
        <w:trPr>
          <w:trHeight w:val="300"/>
        </w:trPr>
        <w:tc>
          <w:tcPr>
            <w:tcW w:w="1440" w:type="dxa"/>
            <w:tcBorders>
              <w:top w:val="nil"/>
              <w:left w:val="nil"/>
              <w:bottom w:val="nil"/>
              <w:right w:val="nil"/>
            </w:tcBorders>
            <w:shd w:val="clear" w:color="auto" w:fill="auto"/>
            <w:noWrap/>
            <w:vAlign w:val="bottom"/>
            <w:hideMark/>
          </w:tcPr>
          <w:p w14:paraId="0DC8AECE"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Tyr</w:t>
            </w:r>
          </w:p>
        </w:tc>
        <w:tc>
          <w:tcPr>
            <w:tcW w:w="2610" w:type="dxa"/>
            <w:tcBorders>
              <w:top w:val="nil"/>
              <w:left w:val="nil"/>
              <w:bottom w:val="nil"/>
              <w:right w:val="nil"/>
            </w:tcBorders>
            <w:shd w:val="clear" w:color="auto" w:fill="auto"/>
            <w:noWrap/>
            <w:vAlign w:val="bottom"/>
            <w:hideMark/>
          </w:tcPr>
          <w:p w14:paraId="66E6C623"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TAC/UAC</w:t>
            </w:r>
          </w:p>
        </w:tc>
        <w:tc>
          <w:tcPr>
            <w:tcW w:w="2520" w:type="dxa"/>
            <w:tcBorders>
              <w:top w:val="nil"/>
              <w:left w:val="nil"/>
              <w:bottom w:val="nil"/>
              <w:right w:val="nil"/>
            </w:tcBorders>
            <w:shd w:val="clear" w:color="auto" w:fill="auto"/>
            <w:noWrap/>
            <w:vAlign w:val="bottom"/>
            <w:hideMark/>
          </w:tcPr>
          <w:p w14:paraId="3E4C1A7C" w14:textId="77777777" w:rsidR="00F11B58" w:rsidRPr="00F11B58" w:rsidRDefault="00F11B58" w:rsidP="00F11B58">
            <w:pPr>
              <w:rPr>
                <w:rFonts w:ascii="Calibri" w:eastAsia="Times New Roman" w:hAnsi="Calibri"/>
                <w:color w:val="000000"/>
              </w:rPr>
            </w:pPr>
            <w:r w:rsidRPr="00F11B58">
              <w:rPr>
                <w:rFonts w:ascii="Calibri" w:eastAsia="Times New Roman" w:hAnsi="Calibri"/>
                <w:color w:val="000000"/>
              </w:rPr>
              <w:t>UAC</w:t>
            </w:r>
          </w:p>
        </w:tc>
        <w:tc>
          <w:tcPr>
            <w:tcW w:w="2610" w:type="dxa"/>
            <w:tcBorders>
              <w:top w:val="nil"/>
              <w:left w:val="nil"/>
              <w:bottom w:val="nil"/>
              <w:right w:val="nil"/>
            </w:tcBorders>
            <w:shd w:val="clear" w:color="auto" w:fill="auto"/>
            <w:noWrap/>
            <w:vAlign w:val="bottom"/>
            <w:hideMark/>
          </w:tcPr>
          <w:p w14:paraId="08A0E4DC" w14:textId="77777777" w:rsidR="00F11B58" w:rsidRPr="00F11B58" w:rsidRDefault="00F11B58" w:rsidP="00F11B58">
            <w:pPr>
              <w:rPr>
                <w:rFonts w:ascii="Calibri" w:eastAsia="Times New Roman" w:hAnsi="Calibri"/>
                <w:color w:val="000000"/>
              </w:rPr>
            </w:pPr>
            <w:proofErr w:type="gramStart"/>
            <w:r w:rsidRPr="00F11B58">
              <w:rPr>
                <w:rFonts w:ascii="Calibri" w:eastAsia="Times New Roman" w:hAnsi="Calibri"/>
                <w:color w:val="000000"/>
              </w:rPr>
              <w:t>x</w:t>
            </w:r>
            <w:proofErr w:type="gramEnd"/>
          </w:p>
        </w:tc>
      </w:tr>
    </w:tbl>
    <w:p w14:paraId="6F1DA24F" w14:textId="77777777" w:rsidR="00CA7BCD" w:rsidRPr="00F11B58" w:rsidRDefault="00CA7BCD">
      <w:pPr>
        <w:rPr>
          <w:sz w:val="20"/>
          <w:szCs w:val="20"/>
        </w:rPr>
      </w:pPr>
    </w:p>
    <w:p w14:paraId="5EE892C7" w14:textId="77777777" w:rsidR="00F11B58" w:rsidRDefault="0023361C">
      <w:pPr>
        <w:rPr>
          <w:sz w:val="20"/>
          <w:szCs w:val="20"/>
        </w:rPr>
      </w:pPr>
      <w:r>
        <w:rPr>
          <w:sz w:val="20"/>
          <w:szCs w:val="20"/>
          <w:vertAlign w:val="superscript"/>
        </w:rPr>
        <w:t>1</w:t>
      </w:r>
      <w:r>
        <w:rPr>
          <w:sz w:val="20"/>
          <w:szCs w:val="20"/>
        </w:rPr>
        <w:t xml:space="preserve"> This indicates “codons that have been previously identified as optimal but our ROC SEMPPR model fit indicates these codons actually are the second most efficient codons” –Gilchrist (2016)</w:t>
      </w:r>
    </w:p>
    <w:p w14:paraId="1B53D3A8" w14:textId="19FAA464" w:rsidR="0023361C" w:rsidRPr="00041C6D" w:rsidRDefault="0023361C">
      <w:pPr>
        <w:rPr>
          <w:sz w:val="20"/>
          <w:szCs w:val="20"/>
        </w:rPr>
      </w:pPr>
      <w:r>
        <w:rPr>
          <w:sz w:val="20"/>
          <w:szCs w:val="20"/>
          <w:vertAlign w:val="superscript"/>
        </w:rPr>
        <w:t>2</w:t>
      </w:r>
      <w:r>
        <w:rPr>
          <w:sz w:val="20"/>
          <w:szCs w:val="20"/>
        </w:rPr>
        <w:t xml:space="preserve"> This indicates that the codon was bordering the significance criterion (p &lt; .01) for being named an optimal codon. Glutamine’s CAG has a p = .005 while </w:t>
      </w:r>
      <w:r w:rsidR="00041C6D">
        <w:rPr>
          <w:sz w:val="20"/>
          <w:szCs w:val="20"/>
        </w:rPr>
        <w:t>Ser</w:t>
      </w:r>
      <w:r w:rsidR="00041C6D">
        <w:rPr>
          <w:sz w:val="20"/>
          <w:szCs w:val="20"/>
          <w:vertAlign w:val="subscript"/>
        </w:rPr>
        <w:t>4</w:t>
      </w:r>
      <w:r w:rsidR="00041C6D">
        <w:rPr>
          <w:sz w:val="20"/>
          <w:szCs w:val="20"/>
        </w:rPr>
        <w:t>’s UCU has a p = .027.</w:t>
      </w:r>
    </w:p>
    <w:p w14:paraId="79EB9511" w14:textId="77777777" w:rsidR="00F11B58" w:rsidRPr="0023361C" w:rsidRDefault="00F11B58">
      <w:bookmarkStart w:id="0" w:name="_GoBack"/>
      <w:bookmarkEnd w:id="0"/>
    </w:p>
    <w:p w14:paraId="5DC2A07D" w14:textId="77777777" w:rsidR="00CA7BCD" w:rsidRDefault="00F11B58">
      <w:r w:rsidRPr="00F11B58">
        <w:rPr>
          <w:u w:val="single"/>
        </w:rPr>
        <w:t>Specific Comments on Each Amino Acid</w:t>
      </w:r>
      <w:r>
        <w:t>:</w:t>
      </w:r>
    </w:p>
    <w:p w14:paraId="0E93CA3C" w14:textId="77777777" w:rsidR="00F11B58" w:rsidRDefault="00F11B58"/>
    <w:p w14:paraId="56C205B6" w14:textId="77777777" w:rsidR="00CA7BCD" w:rsidRDefault="00CA7BCD">
      <w:r>
        <w:t>*Alanine</w:t>
      </w:r>
      <w:r w:rsidR="008B2834">
        <w:t xml:space="preserve"> (</w:t>
      </w:r>
      <w:proofErr w:type="spellStart"/>
      <w:r w:rsidR="008B2834">
        <w:t>Ala</w:t>
      </w:r>
      <w:proofErr w:type="spellEnd"/>
      <w:r w:rsidR="008B2834">
        <w:t>)</w:t>
      </w:r>
      <w:r>
        <w:t>: R</w:t>
      </w:r>
      <w:r w:rsidR="006A0637">
        <w:t>OC</w:t>
      </w:r>
      <w:r>
        <w:t xml:space="preserve"> only identified one optimal codon (GCT</w:t>
      </w:r>
      <w:r w:rsidR="003F534A">
        <w:t>/GCU</w:t>
      </w:r>
      <w:r>
        <w:t xml:space="preserve">) but it may be worth noting that the graph shows that GCC initially increases with increased gene expression. However, the GCC codon saw far more use in the </w:t>
      </w:r>
      <w:proofErr w:type="spellStart"/>
      <w:r>
        <w:t>Stenico</w:t>
      </w:r>
      <w:proofErr w:type="spellEnd"/>
      <w:r>
        <w:t xml:space="preserve"> study than the GCU.</w:t>
      </w:r>
    </w:p>
    <w:p w14:paraId="6C61ED82" w14:textId="77777777" w:rsidR="00CA7BCD" w:rsidRDefault="00CA7BCD"/>
    <w:p w14:paraId="03E17EA1" w14:textId="77777777" w:rsidR="00CA7BCD" w:rsidRDefault="00CA7BCD">
      <w:r>
        <w:t>*Cysteine</w:t>
      </w:r>
      <w:r w:rsidR="008B2834">
        <w:t xml:space="preserve"> (</w:t>
      </w:r>
      <w:proofErr w:type="spellStart"/>
      <w:r w:rsidR="008B2834">
        <w:t>Cys</w:t>
      </w:r>
      <w:proofErr w:type="spellEnd"/>
      <w:r w:rsidR="008B2834">
        <w:t>)</w:t>
      </w:r>
      <w:r w:rsidR="006A0637">
        <w:t>: Whereas ROC</w:t>
      </w:r>
      <w:r>
        <w:t xml:space="preserve"> has TGT</w:t>
      </w:r>
      <w:r w:rsidR="003F534A">
        <w:t>/UGU</w:t>
      </w:r>
      <w:r>
        <w:t xml:space="preserve"> being both </w:t>
      </w:r>
      <w:proofErr w:type="spellStart"/>
      <w:r>
        <w:t>mutationally</w:t>
      </w:r>
      <w:proofErr w:type="spellEnd"/>
      <w:r>
        <w:t xml:space="preserve"> and selectively favored,</w:t>
      </w:r>
      <w:r w:rsidR="008B2834">
        <w:t xml:space="preserve"> the study shows that UGC is the optimal codon. It does appear from the study that UGU may indeed be the more </w:t>
      </w:r>
      <w:proofErr w:type="spellStart"/>
      <w:r w:rsidR="008B2834">
        <w:t>mutationally</w:t>
      </w:r>
      <w:proofErr w:type="spellEnd"/>
      <w:r w:rsidR="008B2834">
        <w:t xml:space="preserve"> favored though.</w:t>
      </w:r>
    </w:p>
    <w:p w14:paraId="7CC39743" w14:textId="77777777" w:rsidR="008B2834" w:rsidRDefault="008B2834"/>
    <w:p w14:paraId="768EEF0E" w14:textId="77777777" w:rsidR="008B2834" w:rsidRDefault="008B2834">
      <w:r>
        <w:t>*Aspartic acid (Asp): Follows same general trend for each paper.</w:t>
      </w:r>
      <w:r w:rsidR="003F534A">
        <w:t xml:space="preserve"> Including the “crossover” where one codon that is </w:t>
      </w:r>
      <w:proofErr w:type="spellStart"/>
      <w:r w:rsidR="003F534A">
        <w:t>mutationally</w:t>
      </w:r>
      <w:proofErr w:type="spellEnd"/>
      <w:r w:rsidR="003F534A">
        <w:t xml:space="preserve"> favored (in this case GAT/GAU) is more frequent in low bias RUFs but the more selectively advantageous codon GAC has significantly more frequency in high bias genes. </w:t>
      </w:r>
    </w:p>
    <w:p w14:paraId="6475E6E4" w14:textId="77777777" w:rsidR="008B2834" w:rsidRDefault="008B2834"/>
    <w:p w14:paraId="1A27ADF2" w14:textId="77777777" w:rsidR="008B2834" w:rsidRDefault="008B2834">
      <w:r>
        <w:t>*Glutamic Acid (</w:t>
      </w:r>
      <w:proofErr w:type="spellStart"/>
      <w:r>
        <w:t>Glu</w:t>
      </w:r>
      <w:proofErr w:type="spellEnd"/>
      <w:r>
        <w:t xml:space="preserve">): Whereas </w:t>
      </w:r>
      <w:r w:rsidR="006A0637">
        <w:t xml:space="preserve">ROC </w:t>
      </w:r>
      <w:r>
        <w:t xml:space="preserve">has GAA being both </w:t>
      </w:r>
      <w:proofErr w:type="spellStart"/>
      <w:r>
        <w:t>mutationally</w:t>
      </w:r>
      <w:proofErr w:type="spellEnd"/>
      <w:r>
        <w:t xml:space="preserve"> and selectively favored, the study shows that GAG is the optimal codon. It does appear from the study that GAA may indeed be the more </w:t>
      </w:r>
      <w:proofErr w:type="spellStart"/>
      <w:r>
        <w:t>mutationally</w:t>
      </w:r>
      <w:proofErr w:type="spellEnd"/>
      <w:r>
        <w:t xml:space="preserve"> favored though.</w:t>
      </w:r>
    </w:p>
    <w:p w14:paraId="7F48CCB7" w14:textId="77777777" w:rsidR="008B2834" w:rsidRDefault="008B2834"/>
    <w:p w14:paraId="26E28457" w14:textId="77777777" w:rsidR="008B2834" w:rsidRDefault="008B2834">
      <w:r>
        <w:t>*Phenylalanine (</w:t>
      </w:r>
      <w:proofErr w:type="spellStart"/>
      <w:r>
        <w:t>Phe</w:t>
      </w:r>
      <w:proofErr w:type="spellEnd"/>
      <w:r>
        <w:t>): Follows same general trend for each paper.</w:t>
      </w:r>
      <w:r w:rsidR="003F534A">
        <w:t xml:space="preserve"> This, like Aspartic acid, shows the trend of the crossover, although with less extremity regarding the low bias mutation- favoring of UUU.</w:t>
      </w:r>
    </w:p>
    <w:p w14:paraId="5AFBBAD2" w14:textId="77777777" w:rsidR="008B2834" w:rsidRDefault="008B2834"/>
    <w:p w14:paraId="063AF37E" w14:textId="77777777" w:rsidR="008B2834" w:rsidRDefault="008B2834">
      <w:r>
        <w:t>*</w:t>
      </w:r>
      <w:r w:rsidR="009105FE">
        <w:t>Glycine (</w:t>
      </w:r>
      <w:proofErr w:type="spellStart"/>
      <w:r w:rsidR="009105FE">
        <w:t>Gly</w:t>
      </w:r>
      <w:proofErr w:type="spellEnd"/>
      <w:r w:rsidR="009105FE">
        <w:t>): Data does not at all match.</w:t>
      </w:r>
    </w:p>
    <w:p w14:paraId="1E9BDD27" w14:textId="77777777" w:rsidR="009105FE" w:rsidRDefault="009105FE"/>
    <w:p w14:paraId="5C7FD35E" w14:textId="77777777" w:rsidR="009105FE" w:rsidRDefault="009105FE">
      <w:r>
        <w:t>*</w:t>
      </w:r>
      <w:proofErr w:type="spellStart"/>
      <w:r>
        <w:t>Histidine</w:t>
      </w:r>
      <w:proofErr w:type="spellEnd"/>
      <w:r>
        <w:t xml:space="preserve"> (His): Follows sa</w:t>
      </w:r>
      <w:r w:rsidR="003F534A">
        <w:t xml:space="preserve">me general trend for each paper, including the crossover trend. </w:t>
      </w:r>
    </w:p>
    <w:p w14:paraId="2EDCB1D0" w14:textId="77777777" w:rsidR="009105FE" w:rsidRDefault="009105FE"/>
    <w:p w14:paraId="639E4B48" w14:textId="77777777" w:rsidR="009105FE" w:rsidRDefault="009105FE">
      <w:r>
        <w:t xml:space="preserve">*Isoleucine (Ile): </w:t>
      </w:r>
      <w:r w:rsidR="007424E3">
        <w:t>Follows same general trend for each paper.</w:t>
      </w:r>
    </w:p>
    <w:p w14:paraId="4ABAF760" w14:textId="77777777" w:rsidR="009105FE" w:rsidRDefault="009105FE"/>
    <w:p w14:paraId="01B0FF23" w14:textId="77777777" w:rsidR="009105FE" w:rsidRDefault="009105FE" w:rsidP="009105FE">
      <w:r>
        <w:t xml:space="preserve">*Lysine (Lys): </w:t>
      </w:r>
      <w:r w:rsidR="007424E3">
        <w:t>Follows same general trend for each paper.</w:t>
      </w:r>
    </w:p>
    <w:p w14:paraId="7E388C58" w14:textId="77777777" w:rsidR="009105FE" w:rsidRDefault="009105FE" w:rsidP="009105FE"/>
    <w:p w14:paraId="5A6D19BC" w14:textId="77777777" w:rsidR="009105FE" w:rsidRDefault="009105FE" w:rsidP="009105FE">
      <w:r>
        <w:t>*</w:t>
      </w:r>
      <w:proofErr w:type="spellStart"/>
      <w:r>
        <w:t>Leucine</w:t>
      </w:r>
      <w:proofErr w:type="spellEnd"/>
      <w:r>
        <w:t xml:space="preserve"> (</w:t>
      </w:r>
      <w:proofErr w:type="spellStart"/>
      <w:r>
        <w:t>Leu</w:t>
      </w:r>
      <w:proofErr w:type="spellEnd"/>
      <w:r>
        <w:t xml:space="preserve">): </w:t>
      </w:r>
      <w:r w:rsidR="007424E3">
        <w:t>Data does not at all match.</w:t>
      </w:r>
    </w:p>
    <w:p w14:paraId="26812554" w14:textId="77777777" w:rsidR="009105FE" w:rsidRDefault="009105FE" w:rsidP="009105FE"/>
    <w:p w14:paraId="4381CDCC" w14:textId="77777777" w:rsidR="009105FE" w:rsidRDefault="009105FE" w:rsidP="009105FE">
      <w:r>
        <w:t>*Asparagine (</w:t>
      </w:r>
      <w:proofErr w:type="spellStart"/>
      <w:r>
        <w:t>Asn</w:t>
      </w:r>
      <w:proofErr w:type="spellEnd"/>
      <w:r>
        <w:t>):</w:t>
      </w:r>
      <w:r w:rsidR="007424E3">
        <w:t xml:space="preserve"> Follows sa</w:t>
      </w:r>
      <w:r w:rsidR="003F534A">
        <w:t>me general trend for each paper, including the crossover trend.</w:t>
      </w:r>
    </w:p>
    <w:p w14:paraId="65C0F37C" w14:textId="77777777" w:rsidR="009105FE" w:rsidRDefault="009105FE" w:rsidP="009105FE"/>
    <w:p w14:paraId="3649B6DC" w14:textId="77777777" w:rsidR="009105FE" w:rsidRDefault="009105FE" w:rsidP="009105FE">
      <w:r>
        <w:t>*</w:t>
      </w:r>
      <w:proofErr w:type="spellStart"/>
      <w:r>
        <w:t>Proline</w:t>
      </w:r>
      <w:proofErr w:type="spellEnd"/>
      <w:r>
        <w:t xml:space="preserve"> (Pro): </w:t>
      </w:r>
      <w:r w:rsidR="007424E3">
        <w:t>Follows same general trend for each paper.</w:t>
      </w:r>
      <w:r w:rsidR="009447EA">
        <w:t xml:space="preserve"> CCA is pretty dominant in both high and low bias cases, and this makes sense as it is show by ROC to be the most </w:t>
      </w:r>
      <w:proofErr w:type="spellStart"/>
      <w:r w:rsidR="009447EA">
        <w:t>mutationally</w:t>
      </w:r>
      <w:proofErr w:type="spellEnd"/>
      <w:r w:rsidR="009447EA">
        <w:t xml:space="preserve"> and selectively favored.</w:t>
      </w:r>
    </w:p>
    <w:p w14:paraId="44F8F575" w14:textId="77777777" w:rsidR="009105FE" w:rsidRDefault="009105FE" w:rsidP="009105FE"/>
    <w:p w14:paraId="1DED53AF" w14:textId="77777777" w:rsidR="009105FE" w:rsidRDefault="009105FE" w:rsidP="009105FE">
      <w:r>
        <w:t>*Glutamine (</w:t>
      </w:r>
      <w:proofErr w:type="spellStart"/>
      <w:r>
        <w:t>Gln</w:t>
      </w:r>
      <w:proofErr w:type="spellEnd"/>
      <w:r>
        <w:t xml:space="preserve">): </w:t>
      </w:r>
      <w:r w:rsidR="007424E3">
        <w:t>It should be noted the CAA showed more expression in both the high bias ge</w:t>
      </w:r>
      <w:r w:rsidR="0023361C">
        <w:t>nes and low bias URFs, but</w:t>
      </w:r>
      <w:r w:rsidR="007424E3">
        <w:t xml:space="preserve"> it showed a lower frequency in the high bias genes than in the low bia</w:t>
      </w:r>
      <w:r w:rsidR="0023361C">
        <w:t>s URFs</w:t>
      </w:r>
      <w:r w:rsidR="007424E3">
        <w:t xml:space="preserve">. This could make some sense seeing as </w:t>
      </w:r>
      <w:r w:rsidR="006A0637">
        <w:t>ROC</w:t>
      </w:r>
      <w:r w:rsidR="007424E3">
        <w:t xml:space="preserve"> predicts that CAA is both </w:t>
      </w:r>
      <w:proofErr w:type="spellStart"/>
      <w:r w:rsidR="007424E3">
        <w:t>mutationally</w:t>
      </w:r>
      <w:proofErr w:type="spellEnd"/>
      <w:r w:rsidR="007424E3">
        <w:t xml:space="preserve"> and selectively advantageous. However, the significant difference in frequency</w:t>
      </w:r>
      <w:r w:rsidR="00DA429A">
        <w:t xml:space="preserve"> of CAG pushed the study to establish CAG as the optimal codon. This case is one of the two that border on the criteri</w:t>
      </w:r>
      <w:r w:rsidR="0023361C">
        <w:t>on for significance level</w:t>
      </w:r>
      <w:r w:rsidR="00DA429A">
        <w:t xml:space="preserve"> with p = .005, which still meets the criterion (p &lt; .01).  The other codon that borders is in Ser</w:t>
      </w:r>
      <w:r w:rsidR="00DA429A">
        <w:rPr>
          <w:vertAlign w:val="subscript"/>
        </w:rPr>
        <w:t>4</w:t>
      </w:r>
      <w:r w:rsidR="00DA429A">
        <w:t>.</w:t>
      </w:r>
    </w:p>
    <w:p w14:paraId="34B033AC" w14:textId="77777777" w:rsidR="00DA429A" w:rsidRDefault="00DA429A" w:rsidP="009105FE"/>
    <w:p w14:paraId="66BB11D1" w14:textId="77777777" w:rsidR="009105FE" w:rsidRDefault="009105FE" w:rsidP="009105FE">
      <w:r>
        <w:t>*Arginine (</w:t>
      </w:r>
      <w:proofErr w:type="spellStart"/>
      <w:r>
        <w:t>Arg</w:t>
      </w:r>
      <w:proofErr w:type="spellEnd"/>
      <w:r>
        <w:t>):</w:t>
      </w:r>
      <w:r w:rsidR="007424E3">
        <w:t xml:space="preserve"> </w:t>
      </w:r>
      <w:r w:rsidR="00DA429A">
        <w:t>Data does not match at all between the two studies.</w:t>
      </w:r>
    </w:p>
    <w:p w14:paraId="31A771F1" w14:textId="77777777" w:rsidR="009105FE" w:rsidRDefault="009105FE" w:rsidP="009105FE"/>
    <w:p w14:paraId="7FCAFD6B" w14:textId="77777777" w:rsidR="009105FE" w:rsidRDefault="009105FE" w:rsidP="009105FE">
      <w:r>
        <w:t>*Serine (</w:t>
      </w:r>
      <w:proofErr w:type="spellStart"/>
      <w:r>
        <w:t>Ser</w:t>
      </w:r>
      <w:proofErr w:type="spellEnd"/>
      <w:r>
        <w:t>):</w:t>
      </w:r>
    </w:p>
    <w:p w14:paraId="2968EE07" w14:textId="77777777" w:rsidR="009105FE" w:rsidRDefault="009105FE" w:rsidP="009105FE">
      <w:pPr>
        <w:pStyle w:val="ListParagraph"/>
        <w:numPr>
          <w:ilvl w:val="0"/>
          <w:numId w:val="2"/>
        </w:numPr>
      </w:pPr>
      <w:r>
        <w:t>Ser</w:t>
      </w:r>
      <w:r>
        <w:rPr>
          <w:vertAlign w:val="subscript"/>
        </w:rPr>
        <w:t>4</w:t>
      </w:r>
      <w:r>
        <w:t xml:space="preserve"> – </w:t>
      </w:r>
      <w:r w:rsidR="00DA429A">
        <w:t>The data is in agreement even to the point where TCC/UCC is the most optimal in each.  The TCT/UCU is the second most optimal according to R</w:t>
      </w:r>
      <w:r w:rsidR="006A0637">
        <w:t>OC</w:t>
      </w:r>
      <w:r w:rsidR="00DA429A">
        <w:t xml:space="preserve"> and is the second case that borders the criterion according to the </w:t>
      </w:r>
      <w:proofErr w:type="spellStart"/>
      <w:r w:rsidR="00DA429A">
        <w:t>Stenico</w:t>
      </w:r>
      <w:proofErr w:type="spellEnd"/>
      <w:r w:rsidR="00DA429A">
        <w:t xml:space="preserve"> study with a chi square value that has a probability of .027.</w:t>
      </w:r>
    </w:p>
    <w:p w14:paraId="39805BA2" w14:textId="77777777" w:rsidR="009105FE" w:rsidRDefault="009105FE" w:rsidP="009105FE">
      <w:pPr>
        <w:pStyle w:val="ListParagraph"/>
        <w:numPr>
          <w:ilvl w:val="0"/>
          <w:numId w:val="2"/>
        </w:numPr>
      </w:pPr>
      <w:r>
        <w:t>Ser</w:t>
      </w:r>
      <w:r>
        <w:rPr>
          <w:vertAlign w:val="subscript"/>
        </w:rPr>
        <w:t>2</w:t>
      </w:r>
      <w:r>
        <w:t xml:space="preserve"> –</w:t>
      </w:r>
      <w:r w:rsidR="007424E3">
        <w:t xml:space="preserve"> </w:t>
      </w:r>
      <w:r w:rsidR="006A0637">
        <w:t>ROC</w:t>
      </w:r>
      <w:r w:rsidR="00DA429A">
        <w:t xml:space="preserve"> predicts two optimal codons, but the </w:t>
      </w:r>
      <w:proofErr w:type="spellStart"/>
      <w:r w:rsidR="00DA429A">
        <w:t>Stenico</w:t>
      </w:r>
      <w:proofErr w:type="spellEnd"/>
      <w:r w:rsidR="00DA429A">
        <w:t xml:space="preserve"> study found no significant difference between the codon usage in high bias genes and low bias RUFs.</w:t>
      </w:r>
    </w:p>
    <w:p w14:paraId="0C482E92" w14:textId="77777777" w:rsidR="009105FE" w:rsidRDefault="009105FE" w:rsidP="009105FE"/>
    <w:p w14:paraId="482F4CEA" w14:textId="77777777" w:rsidR="009105FE" w:rsidRDefault="009105FE" w:rsidP="009105FE">
      <w:r>
        <w:t>*Thr</w:t>
      </w:r>
      <w:r w:rsidR="007424E3">
        <w:t xml:space="preserve">eonine (The): </w:t>
      </w:r>
      <w:r w:rsidR="006A0637">
        <w:t xml:space="preserve">The two studies agree that the ACC codon is the optimal codon, but ROC indicates that ACT/ACU is the second optimal, while the </w:t>
      </w:r>
      <w:proofErr w:type="spellStart"/>
      <w:r w:rsidR="006A0637">
        <w:t>Stenico</w:t>
      </w:r>
      <w:proofErr w:type="spellEnd"/>
      <w:r w:rsidR="006A0637">
        <w:t xml:space="preserve"> study finds no significant difference in the data for that codon. Still, ACT/ACU was that second most observed in the high bias genes. The difference could be caused by the high mutational value of ACU not indicating much difference between high bias and low bias </w:t>
      </w:r>
      <w:r w:rsidR="003F534A">
        <w:t>RUFs</w:t>
      </w:r>
      <w:r w:rsidR="006A0637">
        <w:t>.</w:t>
      </w:r>
    </w:p>
    <w:p w14:paraId="59A6777C" w14:textId="77777777" w:rsidR="007424E3" w:rsidRDefault="007424E3" w:rsidP="009105FE"/>
    <w:p w14:paraId="6242BF04" w14:textId="77777777" w:rsidR="007424E3" w:rsidRDefault="007424E3" w:rsidP="009105FE">
      <w:r>
        <w:t>*</w:t>
      </w:r>
      <w:proofErr w:type="spellStart"/>
      <w:r>
        <w:t>Valine</w:t>
      </w:r>
      <w:proofErr w:type="spellEnd"/>
      <w:r>
        <w:t xml:space="preserve"> (Val): </w:t>
      </w:r>
      <w:r w:rsidR="006A0637">
        <w:t>The two studies agree that the GTC/GUC codon is the optimal codon, but ROC</w:t>
      </w:r>
    </w:p>
    <w:p w14:paraId="35A6D6AB" w14:textId="77777777" w:rsidR="007424E3" w:rsidRDefault="006A0637" w:rsidP="009105FE">
      <w:proofErr w:type="gramStart"/>
      <w:r>
        <w:t>indicates</w:t>
      </w:r>
      <w:proofErr w:type="gramEnd"/>
      <w:r>
        <w:t xml:space="preserve"> that GTT/GUU is the second optimal, while the </w:t>
      </w:r>
      <w:proofErr w:type="spellStart"/>
      <w:r>
        <w:t>Stenico</w:t>
      </w:r>
      <w:proofErr w:type="spellEnd"/>
      <w:r>
        <w:t xml:space="preserve"> study finds no significant difference in the data for that codon. Still, GTT/GUU was the second most observed in the high bias genes. The difference could again be caused by the high mutational value of </w:t>
      </w:r>
      <w:r w:rsidR="003F534A">
        <w:t>GUU not indicating much difference between high bias genes and low bias RUFs.</w:t>
      </w:r>
    </w:p>
    <w:p w14:paraId="5C862C45" w14:textId="77777777" w:rsidR="006A0637" w:rsidRDefault="006A0637" w:rsidP="009105FE"/>
    <w:p w14:paraId="225D3E37" w14:textId="77777777" w:rsidR="007424E3" w:rsidRDefault="007424E3" w:rsidP="009105FE">
      <w:r>
        <w:t xml:space="preserve">*Tyrosine (Tyr): </w:t>
      </w:r>
      <w:r w:rsidR="003F534A">
        <w:t>Follows the same general trend for each paper</w:t>
      </w:r>
      <w:proofErr w:type="gramStart"/>
      <w:r w:rsidR="003F534A">
        <w:t>..</w:t>
      </w:r>
      <w:proofErr w:type="gramEnd"/>
      <w:r w:rsidR="003F534A">
        <w:t xml:space="preserve"> </w:t>
      </w:r>
      <w:proofErr w:type="gramStart"/>
      <w:r w:rsidR="003F534A">
        <w:t>including</w:t>
      </w:r>
      <w:proofErr w:type="gramEnd"/>
      <w:r w:rsidR="003F534A">
        <w:t xml:space="preserve"> the fact that TAC is less </w:t>
      </w:r>
      <w:proofErr w:type="spellStart"/>
      <w:r w:rsidR="003F534A">
        <w:t>mutationally</w:t>
      </w:r>
      <w:proofErr w:type="spellEnd"/>
      <w:r w:rsidR="003F534A">
        <w:t xml:space="preserve"> favored, and is seen less often in the low bias RUFs but more selectively favored and seen more often in high bias genes.</w:t>
      </w:r>
    </w:p>
    <w:p w14:paraId="097EA570" w14:textId="77777777" w:rsidR="009C1F93" w:rsidRDefault="009C1F93" w:rsidP="009105FE"/>
    <w:p w14:paraId="5A9D76FA" w14:textId="77777777" w:rsidR="009C1F93" w:rsidRDefault="009C1F93" w:rsidP="009105FE"/>
    <w:p w14:paraId="65EA44FC" w14:textId="77777777" w:rsidR="009C1F93" w:rsidRDefault="009C1F93" w:rsidP="009105FE"/>
    <w:p w14:paraId="67657486" w14:textId="3A3437FC" w:rsidR="009C1F93" w:rsidRDefault="009C1F93">
      <w:r>
        <w:br w:type="page"/>
      </w:r>
    </w:p>
    <w:p w14:paraId="2BFC9FD5" w14:textId="291C7D98" w:rsidR="00B06342" w:rsidRPr="00B06342" w:rsidRDefault="00B06342" w:rsidP="00B06342">
      <w:pPr>
        <w:jc w:val="center"/>
      </w:pPr>
      <w:proofErr w:type="spellStart"/>
      <w:proofErr w:type="gramStart"/>
      <w:r>
        <w:t>Stenico</w:t>
      </w:r>
      <w:proofErr w:type="spellEnd"/>
      <w:r>
        <w:t>(</w:t>
      </w:r>
      <w:proofErr w:type="gramEnd"/>
      <w:r>
        <w:t>1994) Table 3</w:t>
      </w:r>
    </w:p>
    <w:p w14:paraId="10349372" w14:textId="156DEE2E" w:rsidR="009C1F93" w:rsidRDefault="009C1F93" w:rsidP="009105FE">
      <w:r>
        <w:rPr>
          <w:noProof/>
        </w:rPr>
        <w:drawing>
          <wp:inline distT="0" distB="0" distL="0" distR="0" wp14:anchorId="5546A1CC" wp14:editId="652925AE">
            <wp:extent cx="3728720" cy="8001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Elegans Optimal Codons Table 3.png"/>
                    <pic:cNvPicPr/>
                  </pic:nvPicPr>
                  <pic:blipFill>
                    <a:blip r:embed="rId8">
                      <a:extLst>
                        <a:ext uri="{28A0092B-C50C-407E-A947-70E740481C1C}">
                          <a14:useLocalDpi xmlns:a14="http://schemas.microsoft.com/office/drawing/2010/main" val="0"/>
                        </a:ext>
                      </a:extLst>
                    </a:blip>
                    <a:stretch>
                      <a:fillRect/>
                    </a:stretch>
                  </pic:blipFill>
                  <pic:spPr>
                    <a:xfrm>
                      <a:off x="0" y="0"/>
                      <a:ext cx="3728720" cy="8001000"/>
                    </a:xfrm>
                    <a:prstGeom prst="rect">
                      <a:avLst/>
                    </a:prstGeom>
                  </pic:spPr>
                </pic:pic>
              </a:graphicData>
            </a:graphic>
          </wp:inline>
        </w:drawing>
      </w:r>
    </w:p>
    <w:p w14:paraId="671E80BD" w14:textId="526DEBF6" w:rsidR="00580D3D" w:rsidRDefault="00580D3D" w:rsidP="00580D3D">
      <w:pPr>
        <w:jc w:val="center"/>
      </w:pPr>
      <w:r>
        <w:t>Gilchrist (2015) Figure 6</w:t>
      </w:r>
    </w:p>
    <w:p w14:paraId="0AA69E9B" w14:textId="77777777" w:rsidR="00580D3D" w:rsidRDefault="00580D3D" w:rsidP="00580D3D">
      <w:pPr>
        <w:jc w:val="center"/>
      </w:pPr>
    </w:p>
    <w:p w14:paraId="0A0A911E" w14:textId="526DEBF6" w:rsidR="00580D3D" w:rsidRPr="00075F17" w:rsidRDefault="00580D3D" w:rsidP="00580D3D">
      <w:pPr>
        <w:jc w:val="center"/>
      </w:pPr>
      <w:r>
        <w:rPr>
          <w:noProof/>
        </w:rPr>
        <w:drawing>
          <wp:inline distT="0" distB="0" distL="0" distR="0" wp14:anchorId="0F0A3A8B" wp14:editId="137A292A">
            <wp:extent cx="5943600" cy="714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christ(2015) Codon Frequenc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40575"/>
                    </a:xfrm>
                    <a:prstGeom prst="rect">
                      <a:avLst/>
                    </a:prstGeom>
                  </pic:spPr>
                </pic:pic>
              </a:graphicData>
            </a:graphic>
          </wp:inline>
        </w:drawing>
      </w:r>
    </w:p>
    <w:sectPr w:rsidR="00580D3D" w:rsidRPr="00075F17" w:rsidSect="00DB0EA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F472C" w14:textId="77777777" w:rsidR="0023361C" w:rsidRDefault="0023361C" w:rsidP="00F11B58">
      <w:r>
        <w:separator/>
      </w:r>
    </w:p>
  </w:endnote>
  <w:endnote w:type="continuationSeparator" w:id="0">
    <w:p w14:paraId="43985D8B" w14:textId="77777777" w:rsidR="0023361C" w:rsidRDefault="0023361C" w:rsidP="00F11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89414" w14:textId="77777777" w:rsidR="0023361C" w:rsidRDefault="0023361C" w:rsidP="00F11B58">
      <w:r>
        <w:separator/>
      </w:r>
    </w:p>
  </w:footnote>
  <w:footnote w:type="continuationSeparator" w:id="0">
    <w:p w14:paraId="2A28BAF9" w14:textId="77777777" w:rsidR="0023361C" w:rsidRDefault="0023361C" w:rsidP="00F11B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0D3FA" w14:textId="77777777" w:rsidR="0023361C" w:rsidRDefault="0023361C">
    <w:pPr>
      <w:pStyle w:val="Header"/>
    </w:pPr>
    <w:r>
      <w:t>Friday July 29</w:t>
    </w:r>
    <w:r w:rsidRPr="00F11B58">
      <w:rPr>
        <w:vertAlign w:val="superscript"/>
      </w:rPr>
      <w:t>th</w:t>
    </w:r>
    <w: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51F5C"/>
    <w:multiLevelType w:val="hybridMultilevel"/>
    <w:tmpl w:val="8632CECA"/>
    <w:lvl w:ilvl="0" w:tplc="15107D48">
      <w:start w:val="203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7F21C6"/>
    <w:multiLevelType w:val="hybridMultilevel"/>
    <w:tmpl w:val="B41052BC"/>
    <w:lvl w:ilvl="0" w:tplc="15107D48">
      <w:start w:val="203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F17"/>
    <w:rsid w:val="00041C6D"/>
    <w:rsid w:val="00075F17"/>
    <w:rsid w:val="0023361C"/>
    <w:rsid w:val="003F534A"/>
    <w:rsid w:val="00580D3D"/>
    <w:rsid w:val="006A0637"/>
    <w:rsid w:val="007424E3"/>
    <w:rsid w:val="008B2834"/>
    <w:rsid w:val="008D43F5"/>
    <w:rsid w:val="009105FE"/>
    <w:rsid w:val="009447EA"/>
    <w:rsid w:val="009C1F93"/>
    <w:rsid w:val="009E5684"/>
    <w:rsid w:val="00B06342"/>
    <w:rsid w:val="00B25DE4"/>
    <w:rsid w:val="00CA7BCD"/>
    <w:rsid w:val="00DA429A"/>
    <w:rsid w:val="00DB0EA1"/>
    <w:rsid w:val="00F11B58"/>
    <w:rsid w:val="00FE2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0575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5FE"/>
    <w:pPr>
      <w:ind w:left="720"/>
      <w:contextualSpacing/>
    </w:pPr>
  </w:style>
  <w:style w:type="paragraph" w:styleId="Header">
    <w:name w:val="header"/>
    <w:basedOn w:val="Normal"/>
    <w:link w:val="HeaderChar"/>
    <w:uiPriority w:val="99"/>
    <w:unhideWhenUsed/>
    <w:rsid w:val="00F11B58"/>
    <w:pPr>
      <w:tabs>
        <w:tab w:val="center" w:pos="4320"/>
        <w:tab w:val="right" w:pos="8640"/>
      </w:tabs>
    </w:pPr>
  </w:style>
  <w:style w:type="character" w:customStyle="1" w:styleId="HeaderChar">
    <w:name w:val="Header Char"/>
    <w:basedOn w:val="DefaultParagraphFont"/>
    <w:link w:val="Header"/>
    <w:uiPriority w:val="99"/>
    <w:rsid w:val="00F11B58"/>
  </w:style>
  <w:style w:type="paragraph" w:styleId="Footer">
    <w:name w:val="footer"/>
    <w:basedOn w:val="Normal"/>
    <w:link w:val="FooterChar"/>
    <w:uiPriority w:val="99"/>
    <w:unhideWhenUsed/>
    <w:rsid w:val="00F11B58"/>
    <w:pPr>
      <w:tabs>
        <w:tab w:val="center" w:pos="4320"/>
        <w:tab w:val="right" w:pos="8640"/>
      </w:tabs>
    </w:pPr>
  </w:style>
  <w:style w:type="character" w:customStyle="1" w:styleId="FooterChar">
    <w:name w:val="Footer Char"/>
    <w:basedOn w:val="DefaultParagraphFont"/>
    <w:link w:val="Footer"/>
    <w:uiPriority w:val="99"/>
    <w:rsid w:val="00F11B58"/>
  </w:style>
  <w:style w:type="paragraph" w:styleId="BalloonText">
    <w:name w:val="Balloon Text"/>
    <w:basedOn w:val="Normal"/>
    <w:link w:val="BalloonTextChar"/>
    <w:uiPriority w:val="99"/>
    <w:semiHidden/>
    <w:unhideWhenUsed/>
    <w:rsid w:val="009C1F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1F9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5FE"/>
    <w:pPr>
      <w:ind w:left="720"/>
      <w:contextualSpacing/>
    </w:pPr>
  </w:style>
  <w:style w:type="paragraph" w:styleId="Header">
    <w:name w:val="header"/>
    <w:basedOn w:val="Normal"/>
    <w:link w:val="HeaderChar"/>
    <w:uiPriority w:val="99"/>
    <w:unhideWhenUsed/>
    <w:rsid w:val="00F11B58"/>
    <w:pPr>
      <w:tabs>
        <w:tab w:val="center" w:pos="4320"/>
        <w:tab w:val="right" w:pos="8640"/>
      </w:tabs>
    </w:pPr>
  </w:style>
  <w:style w:type="character" w:customStyle="1" w:styleId="HeaderChar">
    <w:name w:val="Header Char"/>
    <w:basedOn w:val="DefaultParagraphFont"/>
    <w:link w:val="Header"/>
    <w:uiPriority w:val="99"/>
    <w:rsid w:val="00F11B58"/>
  </w:style>
  <w:style w:type="paragraph" w:styleId="Footer">
    <w:name w:val="footer"/>
    <w:basedOn w:val="Normal"/>
    <w:link w:val="FooterChar"/>
    <w:uiPriority w:val="99"/>
    <w:unhideWhenUsed/>
    <w:rsid w:val="00F11B58"/>
    <w:pPr>
      <w:tabs>
        <w:tab w:val="center" w:pos="4320"/>
        <w:tab w:val="right" w:pos="8640"/>
      </w:tabs>
    </w:pPr>
  </w:style>
  <w:style w:type="character" w:customStyle="1" w:styleId="FooterChar">
    <w:name w:val="Footer Char"/>
    <w:basedOn w:val="DefaultParagraphFont"/>
    <w:link w:val="Footer"/>
    <w:uiPriority w:val="99"/>
    <w:rsid w:val="00F11B58"/>
  </w:style>
  <w:style w:type="paragraph" w:styleId="BalloonText">
    <w:name w:val="Balloon Text"/>
    <w:basedOn w:val="Normal"/>
    <w:link w:val="BalloonTextChar"/>
    <w:uiPriority w:val="99"/>
    <w:semiHidden/>
    <w:unhideWhenUsed/>
    <w:rsid w:val="009C1F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1F9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9258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957</Words>
  <Characters>5456</Characters>
  <Application>Microsoft Macintosh Word</Application>
  <DocSecurity>0</DocSecurity>
  <Lines>45</Lines>
  <Paragraphs>12</Paragraphs>
  <ScaleCrop>false</ScaleCrop>
  <Company/>
  <LinksUpToDate>false</LinksUpToDate>
  <CharactersWithSpaces>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Bussey-Spencer</dc:creator>
  <cp:keywords/>
  <dc:description/>
  <cp:lastModifiedBy>Walker Bussey-Spencer</cp:lastModifiedBy>
  <cp:revision>6</cp:revision>
  <dcterms:created xsi:type="dcterms:W3CDTF">2016-07-29T11:32:00Z</dcterms:created>
  <dcterms:modified xsi:type="dcterms:W3CDTF">2016-07-29T13:41:00Z</dcterms:modified>
</cp:coreProperties>
</file>