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Gillie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22122 17th Ave. S.E. #207,</w:t>
        <w:tab/>
        <w:tab/>
        <w:tab/>
        <w:tab/>
        <w:tab/>
        <w:tab/>
        <w:tab/>
        <w:tab/>
        <w:tab/>
        <w:t xml:space="preserve">206-458-0493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Bothell, WA 98021</w:t>
        <w:tab/>
        <w:tab/>
        <w:tab/>
        <w:tab/>
        <w:tab/>
        <w:tab/>
        <w:t xml:space="preserve">     Email: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StephenGillie@Gilgamech.com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https://www.linkedin.com/in/stephengillie/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"/>
          <w:szCs w:val="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Make sure you've got the most up-to-date copy of this document by visiting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Resume.Gilgamech.Com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Cloud Solutions Architect with  14 years professional experience - 10 years helpdesk including 4.5 years AWS support, 3 years as executive helpdesk, 3 years supervisor/team lead, 2 years enterprise datacenter experience, 1 year classroom &amp; computer lab support, 22 years small office/home office &amp; gaming support.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00" w:line="240" w:lineRule="auto"/>
        <w:ind w:left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Javascript and Node hobbyist. Self-hosting a personal blog and world history webpage. Migrated from Neocities to Heroku to S3 to IIS to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Disaster recovery, and business continuity planning &amp; implementation.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Committed to constant improvement and learning, and documentation update.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655"/>
        <w:gridCol w:w="2025"/>
        <w:gridCol w:w="2340"/>
        <w:tblGridChange w:id="0">
          <w:tblGrid>
            <w:gridCol w:w="2340"/>
            <w:gridCol w:w="2655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shd w:fill="ffffff" w:val="clear"/>
              <w:spacing w:after="0"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 Business Administration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September 2007 – August 2009 in Seattle,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Cloud Practitioner</w:t>
            </w:r>
          </w:p>
          <w:p w:rsidR="00000000" w:rsidDel="00000000" w:rsidP="00000000" w:rsidRDefault="00000000" w:rsidRPr="00000000" w14:paraId="00000014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9xca8bxc1nlq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June 2022</w:t>
            </w:r>
          </w:p>
          <w:p w:rsidR="00000000" w:rsidDel="00000000" w:rsidP="00000000" w:rsidRDefault="00000000" w:rsidRPr="00000000" w14:paraId="00000015">
            <w:pPr>
              <w:pStyle w:val="Heading5"/>
              <w:spacing w:after="0" w:before="0" w:lineRule="auto"/>
              <w:rPr>
                <w:b w:val="1"/>
                <w:sz w:val="24"/>
                <w:szCs w:val="24"/>
              </w:rPr>
            </w:pPr>
            <w:bookmarkStart w:colFirst="0" w:colLast="0" w:name="_heading=h.nbqodvaq909y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352550" cy="69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80"/>
        <w:gridCol w:w="2340"/>
        <w:gridCol w:w="2340"/>
        <w:tblGridChange w:id="0">
          <w:tblGrid>
            <w:gridCol w:w="1800"/>
            <w:gridCol w:w="288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History Chart</w:t>
            </w:r>
          </w:p>
          <w:p w:rsidR="00000000" w:rsidDel="00000000" w:rsidP="00000000" w:rsidRDefault="00000000" w:rsidRPr="00000000" w14:paraId="0000001B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9f42kskub6v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 of history as a unified timeline.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to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Access Key Rotation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ou3ux3g47p8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Univar Solutions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rotated developer and service account keys when nearing expiration and out of use.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created new keys when existing keys were nearing expiration.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emailed users with keys, and reminded users to update keys per password rotation policy.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Tag Maintenance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tagged all corporate assets across 51 AWS services.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Checked an average 10,500 tags in about 4.25 minutes.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Generalized code on 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Volume and Snapshot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Script rotated detached volumes from forgetful developers into snapshots, and then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 out the snapshots, according to corporate data retention policies.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Solve 4,000+ tickets per year (~40% of total ticket load).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customer tickets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internal tickets.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Gandalf Zendesk KB version tracker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downloaded our internal KB library and stored them in GitHub, effectively versioning all KBs, before Zendesk had implemented the versioning feature into their KB library.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tracked about 4,000 KB article changes per month as of June 2017.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Investigation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generated internal form, scraped ticket for server names and IP addresses, and gathered data about them from VMWare while running network tests against them.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Also parsed previous ticket notes into bullet points for better readability.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Off-Shift Ticket Check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tj5zx33he504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checks tickets assigned to engineers who are not working, so on-shift engineers could work those tickets, preventing delays in issue resolution.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Alice Channel Announce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kdxoyqcfaokq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encapsulates the process of generating a Slack message.</w:t>
            </w:r>
          </w:p>
          <w:p w:rsidR="00000000" w:rsidDel="00000000" w:rsidP="00000000" w:rsidRDefault="00000000" w:rsidRPr="00000000" w14:paraId="0000003A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ao4mvmrbien7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Led the charge to automate one of this bot's primary actions, instead of reimplementing in each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Split-TicketFilter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Implemented new ticket-filtering algorithm, speeding ticket-filtering from 2.7 seconds down to 135 milliseconds.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Function runs 2400 times per hour on one CPU, causing a 20-fold reduction in CPU use, from 6480 CPU seconds every hour to 324 CPU seconds every hour).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Arkdata player tracking system</w:t>
            </w:r>
          </w:p>
          <w:p w:rsidR="00000000" w:rsidDel="00000000" w:rsidP="00000000" w:rsidRDefault="00000000" w:rsidRPr="00000000" w14:paraId="0000003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e9pljckd9qik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40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knkna0zcprha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Created while playing the game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ARK: Survival Evolved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br w:type="textWrapping"/>
              <w:t xml:space="preserve">- Used Steam Browser Protocol to ingest player data from servers.</w:t>
            </w:r>
          </w:p>
          <w:p w:rsidR="00000000" w:rsidDel="00000000" w:rsidP="00000000" w:rsidRDefault="00000000" w:rsidRPr="00000000" w14:paraId="00000041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wywebztlkj75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Developed HTML5 canvas map overlay.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5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drx47lc3i69i" w:id="12"/>
            <w:bookmarkEnd w:id="12"/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spacing w:after="0" w:before="0" w:lineRule="auto"/>
              <w:rPr>
                <w:rFonts w:ascii="Calibri" w:cs="Calibri" w:eastAsia="Calibri" w:hAnsi="Calibri"/>
              </w:rPr>
            </w:pPr>
            <w:bookmarkStart w:colFirst="0" w:colLast="0" w:name="_heading=h.pv8hr7bt78d9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Car</w:t>
            </w:r>
          </w:p>
          <w:p w:rsidR="00000000" w:rsidDel="00000000" w:rsidP="00000000" w:rsidRDefault="00000000" w:rsidRPr="00000000" w14:paraId="00000045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heaf8pgb8m3y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djmmy33vodb9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Arduino microcontroller and sensor hardware on an old RC car frame. </w:t>
            </w:r>
          </w:p>
          <w:p w:rsidR="00000000" w:rsidDel="00000000" w:rsidP="00000000" w:rsidRDefault="00000000" w:rsidRPr="00000000" w14:paraId="00000047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ug2djz8i6btf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 Programmed to use sensor data to stop before running into a wall.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before="15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775"/>
        <w:gridCol w:w="2550"/>
        <w:gridCol w:w="255"/>
        <w:tblGridChange w:id="0">
          <w:tblGrid>
            <w:gridCol w:w="3765"/>
            <w:gridCol w:w="2775"/>
            <w:gridCol w:w="2550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6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Contributed to a reduction in average Mean Time To Resolve (MTTR) for bugs/trouble tickets from 72-96 hours to 4-6 hours and highest-ever reached Service Level (99.99%) in history of BPOS.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creation application</w:t>
              <w:br w:type="textWrapping"/>
            </w:r>
            <w:hyperlink r:id="rId17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 program in Visual Basic to streamline template creation and distributed it to coworkers.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8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VMC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/ MS BPOS 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Resolved a record 92 customer requests in 1 week. (Organization average: 20-30)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15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Solutions Architect / Infrastructure &amp; Security Engineer</w:t>
      </w:r>
    </w:p>
    <w:p w:rsidR="00000000" w:rsidDel="00000000" w:rsidP="00000000" w:rsidRDefault="00000000" w:rsidRPr="00000000" w14:paraId="00000055">
      <w:pPr>
        <w:pStyle w:val="Heading5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Univar, Inc – Cloud, Automation, Tools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June 2017 – December 2021 in Redmond WA &amp; Remote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 as an in-house Cloud Solutions Architect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S3 bucket and folder access &amp; security. Use permissions boundaries to block access to S3 buckets containing PII or sensitive data.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Redshift</w:t>
      </w:r>
      <w:r w:rsidDel="00000000" w:rsidR="00000000" w:rsidRPr="00000000">
        <w:rPr>
          <w:sz w:val="20"/>
          <w:szCs w:val="20"/>
          <w:rtl w:val="0"/>
        </w:rPr>
        <w:t xml:space="preserve"> SAML IdP, including supporting IAM roles and policies.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 EC2 patching and AWS maintenance with vendors, security teams, developer teams, and business teams. 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EC2 server build and Windows AD configuration.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Engineer: Support AzureAD SAML integration with AWS for 200 users in 40 groups, including managing IAM roles and policies: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00" w:line="276" w:lineRule="auto"/>
        <w:ind w:left="108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IAM SAML IdP. Migrate teams from AWS IAM direct logins to AzureAD SSO logins backed by AD group membership. 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Rewrite numerous IAM policies to simplify permissions and accommodate changes needed for AzureAD integration. Manually create and update IAM policies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mappings in AzureAD between AWS IAM role and on-premises AD group, and manage these AD groups.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Audit and review AWS permissions with application and service owners.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Infrastructure Engineer: Support and maintain AWS Workspaces for 110 users, including application installation, configuration, patching, and vulnerability remediation.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Duo Security MFA provider, including Windows AD Proxy servers and managing user access with the Duo app through their website..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Password Manager Pro (PMP), Splunk, PRTG, Jira, Confluence, Jenkins, Maven, Nexus, etc. Some VMWare access to manage the servers for these services.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how-to KB articles and other documentation. Support existing Powershell and VB script library and Node.js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business continuity for user access to AWS services across numerous corporate events: office relocation, business state migration, merger, and a couple reorganizations.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hd w:fill="ffffff" w:val="clear"/>
        <w:spacing w:after="0" w:before="150" w:lineRule="auto"/>
        <w:rPr>
          <w:rFonts w:ascii="Calibri" w:cs="Calibri" w:eastAsia="Calibri" w:hAnsi="Calibri"/>
          <w:b w:val="0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System Engineer (System, Network,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spacing w:after="0" w:before="0" w:lineRule="auto"/>
        <w:rPr/>
      </w:pPr>
      <w:bookmarkStart w:colFirst="0" w:colLast="0" w:name="_heading=h.dhuop829n5k7" w:id="17"/>
      <w:bookmarkEnd w:id="17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CenturyLink Cloud – Customer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2015 – June 2017 in Bellevue,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before="150" w:line="240" w:lineRule="auto"/>
        <w:ind w:left="21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 more than 60,000 customer and internal VMs across 18 geo-dispersed data centers in different countries around the world.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Support mesh of VPN tunnels between data centers, and the fleet of Juniper routers connecting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First point of customer contact – Receive all incoming customer emails, tickets, live website chats (BoldChat), and phone calls. Route all internal requests,  external customer incidents and requests, and all automated trouble tickets.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Urgent Incident Management process. Act as SME over any part of our technology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Continual documentation update. Write, rewrite, and update numerous internal and public KB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Wrote an internal tool to automate the analysis and diagnosis of site to site VPN tunnels.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shd w:fill="ffffff" w:val="clear"/>
        <w:spacing w:after="0" w:before="15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Infrastructure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shd w:fill="ffffff" w:val="clear"/>
        <w:spacing w:after="0" w:before="0" w:lineRule="auto"/>
        <w:rPr/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Premera</w:t>
        </w:r>
      </w:hyperlink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u w:val="none"/>
          <w:rtl w:val="0"/>
        </w:rPr>
        <w:t xml:space="preserve"> Blue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May 2015 – August 2015 (3 months) Mountlake Terrace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Build new Windows Server 2008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Server 2012 R2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physical and virtual servers, to assist in the Server 2003 Sunset. Physical hardware (RAM, CPU, HDD) upgrades and maintenance to HP rackmount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Handle break/fix tickets, VM upgrade requests, and capacity increases.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Wrote and rewrote numerous documentation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 of Servers (Senior Systems Administrator, NOC Lead, SRE Engineer)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shd w:fill="ffffff" w:val="clear"/>
        <w:spacing w:after="0" w:before="0" w:lineRule="auto"/>
        <w:rPr/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Reliance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2013 – May 2015 in Bellevue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production web hosting environment (more than 20M unique hits a day) on 130 production and 30 development physical &amp; virtual servers. Maintained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rack mounted physical servers. Organized a Network Operations Center and on-call rotation. Acted as Site Reliability Engineer and advised on website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multi-office network with 50 Windows PCs, laptops, VMs, &amp; VDIs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including numerous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Led charge to virtualize the company and migrate into an Oregon-based cloud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 offices from physical AD domain controllers and testing PCs to VMs. 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Introduced Virtual Desktop Infrastructure (VDI) for remote employees and collaborators, allowing dozens of workers in other states to collaborate with no hardware costs. 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Migrated Production hosting operations from a mostly-physical fleet of servers to a fleet of VMs.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Assisted with implementation of CDN to increase page load speed while lowering bandwidth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Expanded PRTG monitoring instance from 200 sensors to 2000 sensors to better monitor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the environment and identify opportunities for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Windows GAC Refresh deploy process, saving 16 hours per week for the development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SQL-based DNS record updates, saving 7 hours a week for the operations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shd w:fill="ffffff" w:val="clear"/>
        <w:spacing w:after="0" w:before="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shd w:fill="ffffff" w:val="clear"/>
        <w:spacing w:after="0" w:before="0" w:lineRule="auto"/>
        <w:rPr/>
      </w:pPr>
      <w:hyperlink r:id="rId21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Microsoft BPOS Tier 3 Operations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shd w:fill="ffffff" w:val="clear"/>
        <w:spacing w:after="0" w:before="0" w:lineRule="auto"/>
        <w:rPr/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TEKsystems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July 2011 – March 2013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Supported 8000 virtual and physical instances of Server 2008 R2 &amp; Server 2003 across several Active Directory forests in 6 geo-dispersed international data centers.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shd w:fill="ffffff" w:val="clear"/>
        <w:spacing w:after="0" w:before="0" w:lineRule="auto"/>
        <w:rPr/>
      </w:pPr>
      <w:hyperlink r:id="rId23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Microsoft BPOS Tier 2 Mobile Devices Technical Support Lead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shd w:fill="ffffff" w:val="clear"/>
        <w:spacing w:after="0" w:before="0" w:lineRule="auto"/>
        <w:rPr/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VMC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2010 – June 2011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Provided executive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international technical support for Exchange Online, ActiveSync, Blackberry, and other email clients.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Managed overnight incoming queue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outed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requests into the correct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Hired as Tier 1 Tech Support Agent. Promoted to Mobile Devices team, then promoted again to Tier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Often specifically requested by customers and Microsoft Partners to handle sensitive situations and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shd w:fill="ffffff" w:val="clear"/>
        <w:spacing w:after="0" w:before="0" w:lineRule="auto"/>
        <w:rPr/>
      </w:pPr>
      <w:hyperlink r:id="rId25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Field Support Technician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shd w:fill="ffffff" w:val="clear"/>
        <w:spacing w:after="0" w:before="0" w:lineRule="auto"/>
        <w:rPr/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H&amp;R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2009 – March 2010 in Tacoma &amp; Olympia,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150 HP desktops running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Windows XP &amp; Server 2003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and network printers and fax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0" w:hanging="2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company/1131595?trk=prof-exp-company-name" TargetMode="External"/><Relationship Id="rId22" Type="http://schemas.openxmlformats.org/officeDocument/2006/relationships/hyperlink" Target="https://www.linkedin.com/company/2152?trk=prof-exp-company-name" TargetMode="External"/><Relationship Id="rId21" Type="http://schemas.openxmlformats.org/officeDocument/2006/relationships/hyperlink" Target="https://www.linkedin.com/vsearch/p?title=Microsoft+BPOS+Tier+3+Operations+Engineer&amp;trk=prof-exp-title" TargetMode="External"/><Relationship Id="rId24" Type="http://schemas.openxmlformats.org/officeDocument/2006/relationships/hyperlink" Target="https://www.linkedin.com/company/7164?trk=prof-exp-company-name" TargetMode="External"/><Relationship Id="rId23" Type="http://schemas.openxmlformats.org/officeDocument/2006/relationships/hyperlink" Target="https://www.linkedin.com/vsearch/p?title=Microsoft+BPOS+Tier+2+Mobile+Devices+Technical+Support+Lead&amp;trk=prof-exp-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sume.gilgamech.com" TargetMode="External"/><Relationship Id="rId26" Type="http://schemas.openxmlformats.org/officeDocument/2006/relationships/hyperlink" Target="https://www.linkedin.com/company/3671?trk=prof-exp-company-name" TargetMode="External"/><Relationship Id="rId25" Type="http://schemas.openxmlformats.org/officeDocument/2006/relationships/hyperlink" Target="https://www.linkedin.com/vsearch/p?title=Field+Support+Technician&amp;trk=prof-exp-tit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ephenGillie@Gilgamech.com" TargetMode="External"/><Relationship Id="rId8" Type="http://schemas.openxmlformats.org/officeDocument/2006/relationships/hyperlink" Target="https://www.linkedin.com/in/stephengillie/" TargetMode="External"/><Relationship Id="rId11" Type="http://schemas.openxmlformats.org/officeDocument/2006/relationships/hyperlink" Target="https://www.gilgamech.com/history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store.steampowered.com/app/346110/" TargetMode="External"/><Relationship Id="rId12" Type="http://schemas.openxmlformats.org/officeDocument/2006/relationships/hyperlink" Target="https://github.com/Gilgamech/Gilgamech/blob/master/AWS/Tags.ps1" TargetMode="External"/><Relationship Id="rId15" Type="http://schemas.openxmlformats.org/officeDocument/2006/relationships/hyperlink" Target="https://github.com/Gilgamech/Arduino/blob/master/motor04/motor04.ino" TargetMode="External"/><Relationship Id="rId14" Type="http://schemas.openxmlformats.org/officeDocument/2006/relationships/hyperlink" Target="https://github.com/Gilgamech/ARKScrape" TargetMode="External"/><Relationship Id="rId17" Type="http://schemas.openxmlformats.org/officeDocument/2006/relationships/hyperlink" Target="https://www.linkedin.com/company/2152?trk=prof-exp-company-name" TargetMode="External"/><Relationship Id="rId16" Type="http://schemas.openxmlformats.org/officeDocument/2006/relationships/hyperlink" Target="https://www.linkedin.com/company/2152?trk=prof-exp-company-name" TargetMode="External"/><Relationship Id="rId19" Type="http://schemas.openxmlformats.org/officeDocument/2006/relationships/hyperlink" Target="https://www.linkedin.com/company/1131595?trk=prof-exp-company-name" TargetMode="External"/><Relationship Id="rId18" Type="http://schemas.openxmlformats.org/officeDocument/2006/relationships/hyperlink" Target="https://www.linkedin.com/company/7164?trk=prof-exp-company-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tENvCg2P4iidZ7ewJfiCq9uDFg==">AMUW2mVNs6aGgcIwJFGOffWMC3eEXM0o93zOf+YEc2qsEQoHuWofXLJm4PsDhJs6/DQT9VU+k1M6iwGOch0DPBMJouf4GIyEJSBXL6SCOkvphY2nWu1o9JhwoyNQuYqpTtVOMfzuYErwhruyUQrP7EHevAyg8KFe9pOUzFX4xJrMqJXaGzYvmWZ/02mSNA7E4/hIv88RVUprwXdiObaWHEShhTwR84+La0Nm7e34cWFXNQdHAcopweILFXaRA6zV3KGWVV0+pFvRyraUOPAaKBo0lzGGFxZawXCjTa4j8U2fMd4YiBr5L8nLeouu6s5ikfVVjgDnqg4b2ijzC8F/tp3WzlBnmvXUjfzb+X0q7el9bRH/K/vrw5s128JfrKq3+h7NI5OytUuvm331g8M6AwGLQEAIQtLAkyuuDciwNryrIWr2qb+HEFLREEuvpq/4kt/NIBe4NYCvMdP80aV9PWfWPm95uaZ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