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360"/>
      </w:pPr>
      <w:r>
        <w:rPr>
          <w:rFonts w:ascii="Archivo" w:hAnsi="Archivo"/>
          <w:b/>
          <w:i w:val="0"/>
          <w:color w:val="063309"/>
          <w:sz w:val="16"/>
        </w:rPr>
        <w:t>APRIL 2026</w:t>
      </w:r>
    </w:p>
    <w:p>
      <w:pPr>
        <w:spacing w:after="0"/>
      </w:pPr>
      <w:r>
        <w:rPr>
          <w:rFonts w:ascii="Archivo" w:hAnsi="Archivo"/>
          <w:b/>
          <w:i w:val="0"/>
          <w:color w:val="063309"/>
          <w:sz w:val="16"/>
        </w:rPr>
        <w:t>AUTHORS</w:t>
      </w:r>
    </w:p>
    <w:p>
      <w:pPr>
        <w:spacing w:after="0"/>
      </w:pPr>
      <w:r>
        <w:rPr>
          <w:rFonts w:ascii="Archivo" w:hAnsi="Archivo"/>
          <w:b w:val="0"/>
          <w:i w:val="0"/>
          <w:color w:val="303030"/>
          <w:sz w:val="18"/>
        </w:rPr>
        <w:t>Author Name</w:t>
      </w:r>
    </w:p>
    <w:p>
      <w:pPr>
        <w:spacing w:after="0"/>
      </w:pPr>
      <w:r>
        <w:rPr>
          <w:rFonts w:ascii="Archivo" w:hAnsi="Archivo"/>
          <w:b w:val="0"/>
          <w:i w:val="0"/>
          <w:color w:val="303030"/>
          <w:sz w:val="18"/>
        </w:rPr>
        <w:t>Second Author</w:t>
      </w:r>
    </w:p>
    <w:p>
      <w:pPr>
        <w:spacing w:after="0"/>
      </w:pPr>
      <w:r>
        <w:rPr>
          <w:rFonts w:ascii="Archivo" w:hAnsi="Archivo"/>
          <w:b w:val="0"/>
          <w:i w:val="0"/>
          <w:color w:val="303030"/>
          <w:sz w:val="18"/>
        </w:rPr>
        <w:t>Third Author</w:t>
      </w:r>
    </w:p>
    <w:p/>
    <w:p>
      <w:pPr>
        <w:spacing w:after="240"/>
      </w:pPr>
      <w:r>
        <w:rPr>
          <w:rFonts w:ascii="Archivo" w:hAnsi="Archivo"/>
          <w:b w:val="0"/>
          <w:i w:val="0"/>
          <w:color w:val="063309"/>
          <w:sz w:val="56"/>
        </w:rPr>
        <w:t>Sample Brief Title Demonstrating the NZIPL Design System</w:t>
      </w:r>
    </w:p>
    <w:p>
      <w:pPr>
        <w:spacing w:after="160"/>
      </w:pPr>
      <w:r>
        <w:rPr>
          <w:rFonts w:ascii="Archivo" w:hAnsi="Archivo"/>
          <w:b w:val="0"/>
          <w:i w:val="0"/>
          <w:color w:val="063309"/>
          <w:sz w:val="22"/>
        </w:rPr>
        <w:t>This sample brief demonstrates all formatting styles used in NZIPL publications. The asymmetric page layout, with a wide left margin and narrow right margin, creates the distinctive visual identity of the Lab's printed outputs.</w:t>
      </w:r>
    </w:p>
    <w:p>
      <w:pPr>
        <w:spacing w:after="160"/>
      </w:pPr>
      <w:r>
        <w:rPr>
          <w:rFonts w:ascii="Archivo" w:hAnsi="Archivo"/>
          <w:b w:val="0"/>
          <w:i w:val="0"/>
          <w:color w:val="063309"/>
          <w:sz w:val="22"/>
        </w:rPr>
        <w:t>The executive summary appears on the cover page in Archivo Medium at 11.5pt in dark green. It provides the reader with the key findings and recommendations before they encounter the detailed analysis in the body of the brief.</w:t>
      </w:r>
    </w:p>
    <w:p>
      <w:pPr>
        <w:spacing w:after="160"/>
      </w:pPr>
      <w:r>
        <w:rPr>
          <w:rFonts w:ascii="Archivo" w:hAnsi="Archivo"/>
          <w:b w:val="0"/>
          <w:i w:val="0"/>
          <w:color w:val="063309"/>
          <w:sz w:val="22"/>
        </w:rPr>
        <w:t>This particular sample uses lorem ipsum content to show how each style element renders in practice. All typography specifications, spacing values, and color tokens are applied exactly as defined in the docx-styles.md reference file.</w:t>
      </w:r>
    </w:p>
    <w:p>
      <w:r>
        <w:br w:type="page"/>
      </w:r>
    </w:p>
    <w:p>
      <w:pPr>
        <w:spacing w:before="40" w:after="160"/>
      </w:pPr>
      <w:r>
        <w:rPr>
          <w:rFonts w:ascii="Archivo" w:hAnsi="Archivo"/>
          <w:b/>
          <w:i w:val="0"/>
          <w:color w:val="063309"/>
          <w:sz w:val="26"/>
        </w:rPr>
        <w:t>Sample Country in the New Geopolitics</w:t>
      </w:r>
    </w:p>
    <w:p>
      <w:pPr>
        <w:spacing w:after="160"/>
      </w:pPr>
      <w:r>
        <w:rPr>
          <w:rFonts w:ascii="Archivo" w:hAnsi="Archivo"/>
          <w:b w:val="0"/>
          <w:i w:val="0"/>
          <w:color w:val="303030"/>
          <w:sz w:val="20"/>
        </w:rPr>
        <w:t>This section demonstrates the Normal body style: Archivo Light at 10pt in #303030. Line spacing is set to 1.3 with 8pt space after each paragraph. The text block width is approximately 5.41 inches, determined by the page width minus both margins.</w:t>
      </w:r>
    </w:p>
    <w:p>
      <w:pPr>
        <w:spacing w:after="160"/>
      </w:pPr>
      <w:r>
        <w:rPr>
          <w:rFonts w:ascii="Archivo" w:hAnsi="Archivo"/>
          <w:b w:val="0"/>
          <w:i w:val="0"/>
          <w:color w:val="303030"/>
          <w:sz w:val="20"/>
        </w:rPr>
        <w:t>In published NZIPL briefs, body text maintains a clean, readable appearance without indentation. Paragraphs are separated by vertical space rather than first-line indents, following modern institutional publishing conventions.</w:t>
      </w:r>
    </w:p>
    <w:p>
      <w:pPr>
        <w:spacing w:after="160"/>
      </w:pPr>
      <w:r>
        <w:rPr>
          <w:rFonts w:ascii="Archivo" w:hAnsi="Archivo"/>
          <w:b w:val="0"/>
          <w:i w:val="0"/>
          <w:color w:val="303030"/>
          <w:sz w:val="20"/>
        </w:rPr>
        <w:t>The analysis typically covers geopolitical positioning, trade relationships, and foreign direct investment patterns. Key data points include export composition, trading partners, and FDI sources, contextualized within broader dynamics such as US-China competition and regional trade agreements.</w:t>
      </w:r>
    </w:p>
    <w:p>
      <w:pPr>
        <w:spacing w:before="360" w:after="360"/>
      </w:pPr>
      <w:r>
        <w:rPr>
          <w:rFonts w:ascii="Archivo" w:hAnsi="Archivo"/>
          <w:b/>
          <w:i/>
          <w:color w:val="B85900"/>
          <w:sz w:val="32"/>
        </w:rPr>
        <w:t>The energy transition represents not merely a technological shift but a fundamental reorganization of global industrial power.</w:t>
      </w:r>
    </w:p>
    <w:p>
      <w:pPr>
        <w:spacing w:before="40" w:after="160"/>
      </w:pPr>
      <w:r>
        <w:rPr>
          <w:rFonts w:ascii="Archivo" w:hAnsi="Archivo"/>
          <w:b w:val="0"/>
          <w:i w:val="0"/>
          <w:color w:val="063309"/>
          <w:sz w:val="24"/>
        </w:rPr>
        <w:t>Policy Framework Overview</w:t>
      </w:r>
    </w:p>
    <w:p>
      <w:pPr>
        <w:spacing w:after="160"/>
      </w:pPr>
      <w:r>
        <w:rPr>
          <w:rFonts w:ascii="Archivo" w:hAnsi="Archivo"/>
          <w:b w:val="0"/>
          <w:i w:val="0"/>
          <w:color w:val="303030"/>
          <w:sz w:val="20"/>
        </w:rPr>
        <w:t>Subsection headings use Archivo Regular at 12pt in the brand green. They provide the second level of hierarchy below the bold H2 section headings. The visual distinction between H2 (bold) and H3 (regular weight) creates clear document structure without excessive formatting.</w:t>
      </w:r>
    </w:p>
    <w:p>
      <w:pPr>
        <w:pStyle w:val="ListBullet"/>
        <w:spacing w:after="160"/>
      </w:pPr>
      <w:r>
        <w:rPr>
          <w:rFonts w:ascii="Archivo" w:hAnsi="Archivo"/>
          <w:b w:val="0"/>
          <w:i w:val="0"/>
          <w:color w:val="303030"/>
          <w:sz w:val="20"/>
        </w:rPr>
        <w:t>First bullet point demonstrating the list paragraph style with Archivo Light at 10pt.</w:t>
      </w:r>
    </w:p>
    <w:p>
      <w:pPr>
        <w:pStyle w:val="ListBullet"/>
        <w:spacing w:after="160"/>
      </w:pPr>
      <w:r>
        <w:rPr>
          <w:rFonts w:ascii="Archivo" w:hAnsi="Archivo"/>
          <w:b w:val="0"/>
          <w:i w:val="0"/>
          <w:color w:val="303030"/>
          <w:sz w:val="20"/>
        </w:rPr>
        <w:t>Second bullet with a bold lead-in term: Explanation text continues here in regular weight.</w:t>
      </w:r>
    </w:p>
    <w:p>
      <w:pPr>
        <w:pStyle w:val="ListBullet"/>
        <w:spacing w:after="160"/>
      </w:pPr>
      <w:r>
        <w:rPr>
          <w:rFonts w:ascii="Archivo" w:hAnsi="Archivo"/>
          <w:b w:val="0"/>
          <w:i w:val="0"/>
          <w:color w:val="303030"/>
          <w:sz w:val="20"/>
        </w:rPr>
        <w:t>Third bullet showing standard round bullet character and 8pt spacing after each item.</w:t>
      </w:r>
    </w:p>
    <w:p>
      <w:pPr>
        <w:spacing w:before="40" w:after="80"/>
      </w:pPr>
      <w:r>
        <w:rPr>
          <w:rFonts w:ascii="Archivo" w:hAnsi="Archivo"/>
          <w:b w:val="0"/>
          <w:i/>
          <w:color w:val="042606"/>
          <w:sz w:val="20"/>
        </w:rPr>
        <w:t>Figure 1. Manufacturing competitiveness radar chart for the sample country.</w:t>
      </w:r>
    </w:p>
    <w:p>
      <w:pPr>
        <w:spacing w:after="160"/>
      </w:pPr>
      <w:r>
        <w:rPr>
          <w:rFonts w:ascii="Archivo" w:hAnsi="Archivo"/>
          <w:b w:val="0"/>
          <w:i w:val="0"/>
          <w:color w:val="303030"/>
          <w:sz w:val="18"/>
        </w:rPr>
        <w:t>Source: NZIPL analysis.</w:t>
      </w:r>
    </w:p>
    <w:p>
      <w:pPr>
        <w:spacing w:before="40" w:after="160"/>
      </w:pPr>
      <w:r>
        <w:rPr>
          <w:rFonts w:ascii="Archivo" w:hAnsi="Archivo"/>
          <w:b/>
          <w:i w:val="0"/>
          <w:color w:val="063309"/>
          <w:sz w:val="26"/>
        </w:rPr>
        <w:t>Sector Analysis: Critical Minerals</w:t>
      </w:r>
    </w:p>
    <w:p>
      <w:pPr>
        <w:spacing w:after="160"/>
      </w:pPr>
      <w:r>
        <w:rPr>
          <w:rFonts w:ascii="Archivo" w:hAnsi="Archivo"/>
          <w:b w:val="0"/>
          <w:i w:val="0"/>
          <w:color w:val="303030"/>
          <w:sz w:val="20"/>
        </w:rPr>
        <w:t>Each sector section in a geopolitical brief includes current production capacity and market position, export composition treemaps from CVCE/Comtrade data, time series of trade flows, and policy analysis covering both existing and recommended interventions. Key firms and major investments are identified to ground the analysis in concrete industrial realities.</w:t>
      </w:r>
    </w:p>
    <w:tbl>
      <w:tblPr>
        <w:tblW w:type="auto" w:w="0"/>
        <w:tblLook w:firstColumn="1" w:firstRow="1" w:lastColumn="0" w:lastRow="0" w:noHBand="0" w:noVBand="1" w:val="04A0"/>
      </w:tblPr>
      <w:tblGrid>
        <w:gridCol w:w="2597"/>
        <w:gridCol w:w="2597"/>
        <w:gridCol w:w="2597"/>
      </w:tblGrid>
      <w:tr>
        <w:tc>
          <w:tcPr>
            <w:tcW w:type="dxa" w:w="2597"/>
          </w:tcPr>
          <w:p>
            <w:r/>
            <w:r>
              <w:rPr>
                <w:rFonts w:ascii="Archivo" w:hAnsi="Archivo"/>
                <w:b/>
                <w:i w:val="0"/>
                <w:color w:val="063309"/>
                <w:sz w:val="20"/>
              </w:rPr>
              <w:t>Agency</w:t>
            </w:r>
          </w:p>
        </w:tc>
        <w:tc>
          <w:tcPr>
            <w:tcW w:type="dxa" w:w="2597"/>
          </w:tcPr>
          <w:p>
            <w:r/>
            <w:r>
              <w:rPr>
                <w:rFonts w:ascii="Archivo" w:hAnsi="Archivo"/>
                <w:b/>
                <w:i w:val="0"/>
                <w:color w:val="063309"/>
                <w:sz w:val="20"/>
              </w:rPr>
              <w:t>Plan</w:t>
            </w:r>
          </w:p>
        </w:tc>
        <w:tc>
          <w:tcPr>
            <w:tcW w:type="dxa" w:w="2597"/>
          </w:tcPr>
          <w:p>
            <w:r/>
            <w:r>
              <w:rPr>
                <w:rFonts w:ascii="Archivo" w:hAnsi="Archivo"/>
                <w:b/>
                <w:i w:val="0"/>
                <w:color w:val="063309"/>
                <w:sz w:val="20"/>
              </w:rPr>
              <w:t>Focus Area</w:t>
            </w:r>
          </w:p>
        </w:tc>
      </w:tr>
      <w:tr>
        <w:tc>
          <w:tcPr>
            <w:tcW w:type="dxa" w:w="2597"/>
          </w:tcPr>
          <w:p>
            <w:r/>
            <w:r>
              <w:rPr>
                <w:rFonts w:ascii="Archivo" w:hAnsi="Archivo"/>
                <w:b w:val="0"/>
                <w:i w:val="0"/>
                <w:color w:val="303030"/>
                <w:sz w:val="20"/>
              </w:rPr>
              <w:t>Ministry of Energy</w:t>
            </w:r>
          </w:p>
        </w:tc>
        <w:tc>
          <w:tcPr>
            <w:tcW w:type="dxa" w:w="2597"/>
          </w:tcPr>
          <w:p>
            <w:r/>
            <w:r>
              <w:rPr>
                <w:rFonts w:ascii="Archivo" w:hAnsi="Archivo"/>
                <w:b w:val="0"/>
                <w:i w:val="0"/>
                <w:color w:val="303030"/>
                <w:sz w:val="20"/>
              </w:rPr>
              <w:t>National Energy Plan 2030</w:t>
            </w:r>
          </w:p>
        </w:tc>
        <w:tc>
          <w:tcPr>
            <w:tcW w:type="dxa" w:w="2597"/>
          </w:tcPr>
          <w:p>
            <w:r/>
            <w:r>
              <w:rPr>
                <w:rFonts w:ascii="Archivo" w:hAnsi="Archivo"/>
                <w:b w:val="0"/>
                <w:i w:val="0"/>
                <w:color w:val="303030"/>
                <w:sz w:val="20"/>
              </w:rPr>
              <w:t>Renewables, grid modernization</w:t>
            </w:r>
          </w:p>
        </w:tc>
      </w:tr>
      <w:tr>
        <w:tc>
          <w:tcPr>
            <w:tcW w:type="dxa" w:w="2597"/>
          </w:tcPr>
          <w:p>
            <w:r/>
            <w:r>
              <w:rPr>
                <w:rFonts w:ascii="Archivo" w:hAnsi="Archivo"/>
                <w:b w:val="0"/>
                <w:i w:val="0"/>
                <w:color w:val="303030"/>
                <w:sz w:val="20"/>
              </w:rPr>
              <w:t>Development Bank</w:t>
            </w:r>
          </w:p>
        </w:tc>
        <w:tc>
          <w:tcPr>
            <w:tcW w:type="dxa" w:w="2597"/>
          </w:tcPr>
          <w:p>
            <w:r/>
            <w:r>
              <w:rPr>
                <w:rFonts w:ascii="Archivo" w:hAnsi="Archivo"/>
                <w:b w:val="0"/>
                <w:i w:val="0"/>
                <w:color w:val="303030"/>
                <w:sz w:val="20"/>
              </w:rPr>
              <w:t>Green Finance Strategy</w:t>
            </w:r>
          </w:p>
        </w:tc>
        <w:tc>
          <w:tcPr>
            <w:tcW w:type="dxa" w:w="2597"/>
          </w:tcPr>
          <w:p>
            <w:r/>
            <w:r>
              <w:rPr>
                <w:rFonts w:ascii="Archivo" w:hAnsi="Archivo"/>
                <w:b w:val="0"/>
                <w:i w:val="0"/>
                <w:color w:val="303030"/>
                <w:sz w:val="20"/>
              </w:rPr>
              <w:t>Concessional lending, risk mitigation</w:t>
            </w:r>
          </w:p>
        </w:tc>
      </w:tr>
      <w:tr>
        <w:tc>
          <w:tcPr>
            <w:tcW w:type="dxa" w:w="2597"/>
          </w:tcPr>
          <w:p>
            <w:r/>
            <w:r>
              <w:rPr>
                <w:rFonts w:ascii="Archivo" w:hAnsi="Archivo"/>
                <w:b w:val="0"/>
                <w:i w:val="0"/>
                <w:color w:val="303030"/>
                <w:sz w:val="20"/>
              </w:rPr>
              <w:t>Trade Ministry</w:t>
            </w:r>
          </w:p>
        </w:tc>
        <w:tc>
          <w:tcPr>
            <w:tcW w:type="dxa" w:w="2597"/>
          </w:tcPr>
          <w:p>
            <w:r/>
            <w:r>
              <w:rPr>
                <w:rFonts w:ascii="Archivo" w:hAnsi="Archivo"/>
                <w:b w:val="0"/>
                <w:i w:val="0"/>
                <w:color w:val="303030"/>
                <w:sz w:val="20"/>
              </w:rPr>
              <w:t>Export Diversification Program</w:t>
            </w:r>
          </w:p>
        </w:tc>
        <w:tc>
          <w:tcPr>
            <w:tcW w:type="dxa" w:w="2597"/>
          </w:tcPr>
          <w:p>
            <w:r/>
            <w:r>
              <w:rPr>
                <w:rFonts w:ascii="Archivo" w:hAnsi="Archivo"/>
                <w:b w:val="0"/>
                <w:i w:val="0"/>
                <w:color w:val="303030"/>
                <w:sz w:val="20"/>
              </w:rPr>
              <w:t>Value-added manufacturing, FTAs</w:t>
            </w:r>
          </w:p>
        </w:tc>
      </w:tr>
    </w:tbl>
    <w:p>
      <w:r>
        <w:br w:type="page"/>
      </w:r>
    </w:p>
    <w:p>
      <w:pPr>
        <w:spacing w:before="40" w:after="160"/>
      </w:pPr>
      <w:r>
        <w:rPr>
          <w:rFonts w:ascii="Archivo" w:hAnsi="Archivo"/>
          <w:b/>
          <w:i w:val="0"/>
          <w:color w:val="063309"/>
          <w:sz w:val="26"/>
        </w:rPr>
        <w:t>Recommendations</w:t>
      </w:r>
    </w:p>
    <w:p>
      <w:pPr>
        <w:spacing w:after="160"/>
      </w:pPr>
      <w:r>
        <w:rPr>
          <w:rFonts w:ascii="Archivo" w:hAnsi="Archivo"/>
          <w:b w:val="0"/>
          <w:i w:val="0"/>
          <w:color w:val="303030"/>
          <w:sz w:val="20"/>
        </w:rPr>
        <w:t>Establish a dedicated green industrial policy coordination body to align sectoral strategies with national climate commitments and trade objectives.</w:t>
      </w:r>
    </w:p>
    <w:p>
      <w:pPr>
        <w:spacing w:after="160"/>
      </w:pPr>
      <w:r>
        <w:rPr>
          <w:rFonts w:ascii="Archivo" w:hAnsi="Archivo"/>
          <w:b w:val="0"/>
          <w:i w:val="0"/>
          <w:color w:val="303030"/>
          <w:sz w:val="20"/>
        </w:rPr>
        <w:t>Expand concessional financing instruments for domestic firms seeking to move up clean energy value chains, with particular attention to small and medium enterprises.</w:t>
      </w:r>
    </w:p>
    <w:p>
      <w:pPr>
        <w:spacing w:after="160"/>
      </w:pPr>
      <w:r>
        <w:rPr>
          <w:rFonts w:ascii="Archivo" w:hAnsi="Archivo"/>
          <w:b w:val="0"/>
          <w:i w:val="0"/>
          <w:color w:val="303030"/>
          <w:sz w:val="20"/>
        </w:rPr>
        <w:t>Negotiate bilateral and plurilateral agreements that secure market access for green manufactured goods while protecting against carbon leakage through border adjustment mechanisms.</w:t>
      </w:r>
    </w:p>
    <w:p>
      <w:pPr>
        <w:spacing w:after="160"/>
      </w:pPr>
      <w:r>
        <w:rPr>
          <w:rFonts w:ascii="Archivo" w:hAnsi="Archivo"/>
          <w:b w:val="0"/>
          <w:i w:val="0"/>
          <w:color w:val="303030"/>
          <w:sz w:val="20"/>
        </w:rPr>
        <w:t>Invest in technical education and workforce development programs aligned with emerging clean energy manufacturing needs, drawing on successful models from peer economies.</w:t>
      </w:r>
    </w:p>
    <w:p>
      <w:pPr>
        <w:spacing w:before="40" w:after="160"/>
      </w:pPr>
      <w:r>
        <w:rPr>
          <w:rFonts w:ascii="Archivo" w:hAnsi="Archivo"/>
          <w:b/>
          <w:i w:val="0"/>
          <w:color w:val="063309"/>
          <w:sz w:val="26"/>
        </w:rPr>
        <w:t>Endnotes</w:t>
      </w:r>
    </w:p>
    <w:p>
      <w:pPr>
        <w:spacing w:line="240" w:lineRule="auto" w:after="120"/>
      </w:pPr>
      <w:r>
        <w:rPr>
          <w:rFonts w:ascii="Archivo" w:hAnsi="Archivo"/>
          <w:b w:val="0"/>
          <w:i w:val="0"/>
          <w:color w:val="303030"/>
          <w:sz w:val="18"/>
        </w:rPr>
        <w:t>1. International Energy Agency, "World Energy Outlook 2025" (Paris: IEA, 2025).</w:t>
      </w:r>
    </w:p>
    <w:p>
      <w:pPr>
        <w:spacing w:line="240" w:lineRule="auto" w:after="120"/>
      </w:pPr>
      <w:r>
        <w:rPr>
          <w:rFonts w:ascii="Archivo" w:hAnsi="Archivo"/>
          <w:b w:val="0"/>
          <w:i w:val="0"/>
          <w:color w:val="303030"/>
          <w:sz w:val="18"/>
        </w:rPr>
        <w:t>2. UNCTAD, "World Investment Report 2025: Green FDI in Developing Countries" (Geneva: United Nations, 2025).</w:t>
      </w:r>
    </w:p>
    <w:p>
      <w:pPr>
        <w:spacing w:line="240" w:lineRule="auto" w:after="120"/>
      </w:pPr>
      <w:r>
        <w:rPr>
          <w:rFonts w:ascii="Archivo" w:hAnsi="Archivo"/>
          <w:b w:val="0"/>
          <w:i w:val="0"/>
          <w:color w:val="303030"/>
          <w:sz w:val="18"/>
        </w:rPr>
        <w:t>3. Net Zero Industrial Policy Lab, "Clean Industrial Capabilities Explorer," accessed April 2026, cice.netzeropolicylab.com.</w:t>
      </w:r>
    </w:p>
    <w:sectPr w:rsidR="00FC693F" w:rsidRPr="0006063C" w:rsidSect="00034616">
      <w:pgSz w:w="12240" w:h="15840"/>
      <w:pgMar w:top="1742" w:right="878" w:bottom="1800" w:left="357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