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392" w:rsidRDefault="00392C46">
      <w:r>
        <w:rPr>
          <w:noProof/>
        </w:rPr>
        <w:drawing>
          <wp:inline distT="0" distB="0" distL="0" distR="0" wp14:anchorId="4C804625" wp14:editId="290CAFA2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92C46" w:rsidRDefault="00392C46"/>
    <w:p w:rsidR="00392C46" w:rsidRDefault="00392C46">
      <w:r>
        <w:rPr>
          <w:noProof/>
        </w:rPr>
        <w:drawing>
          <wp:inline distT="0" distB="0" distL="0" distR="0" wp14:anchorId="5AC61DD4" wp14:editId="4A72D8B0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92C46" w:rsidRDefault="00392C46"/>
    <w:p w:rsidR="00392C46" w:rsidRDefault="00392C46"/>
    <w:p w:rsidR="00392C46" w:rsidRDefault="00392C46"/>
    <w:p w:rsidR="00392C46" w:rsidRDefault="00392C46"/>
    <w:p w:rsidR="00392C46" w:rsidRDefault="00392C46"/>
    <w:p w:rsidR="00392C46" w:rsidRDefault="00392C46"/>
    <w:p w:rsidR="00392C46" w:rsidRDefault="00392C46"/>
    <w:p w:rsidR="00392C46" w:rsidRDefault="00392C46"/>
    <w:p w:rsidR="00392C46" w:rsidRDefault="00392C46">
      <w:r>
        <w:rPr>
          <w:noProof/>
        </w:rPr>
        <w:lastRenderedPageBreak/>
        <w:drawing>
          <wp:inline distT="0" distB="0" distL="0" distR="0" wp14:anchorId="1188AD8A" wp14:editId="2A207F6E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92C46" w:rsidRDefault="00392C46"/>
    <w:p w:rsidR="00392C46" w:rsidRDefault="00392C46">
      <w:r>
        <w:rPr>
          <w:noProof/>
        </w:rPr>
        <w:drawing>
          <wp:inline distT="0" distB="0" distL="0" distR="0" wp14:anchorId="4D0CE248" wp14:editId="186AE959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92C46" w:rsidRDefault="00392C46"/>
    <w:p w:rsidR="00392C46" w:rsidRDefault="00392C46"/>
    <w:p w:rsidR="00392C46" w:rsidRDefault="00392C46"/>
    <w:p w:rsidR="00392C46" w:rsidRDefault="00392C46"/>
    <w:p w:rsidR="00392C46" w:rsidRDefault="00392C46"/>
    <w:p w:rsidR="00392C46" w:rsidRDefault="00392C46"/>
    <w:p w:rsidR="00392C46" w:rsidRDefault="00392C46"/>
    <w:p w:rsidR="00392C46" w:rsidRDefault="00392C46"/>
    <w:p w:rsidR="00392C46" w:rsidRDefault="00392C46">
      <w:r>
        <w:rPr>
          <w:noProof/>
        </w:rPr>
        <w:lastRenderedPageBreak/>
        <w:drawing>
          <wp:inline distT="0" distB="0" distL="0" distR="0" wp14:anchorId="279473D9" wp14:editId="2B3CC082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92C46" w:rsidRDefault="00392C46"/>
    <w:p w:rsidR="00392C46" w:rsidRDefault="00392C46">
      <w:r>
        <w:rPr>
          <w:noProof/>
        </w:rPr>
        <w:drawing>
          <wp:inline distT="0" distB="0" distL="0" distR="0" wp14:anchorId="190F3D6E" wp14:editId="3B71FE2F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92C46" w:rsidRDefault="00392C46"/>
    <w:p w:rsidR="00392C46" w:rsidRDefault="00392C46"/>
    <w:p w:rsidR="00392C46" w:rsidRDefault="00392C46"/>
    <w:p w:rsidR="00392C46" w:rsidRDefault="00392C46"/>
    <w:p w:rsidR="00392C46" w:rsidRDefault="00392C46"/>
    <w:p w:rsidR="00392C46" w:rsidRDefault="00392C46"/>
    <w:p w:rsidR="00392C46" w:rsidRDefault="00392C46"/>
    <w:p w:rsidR="00392C46" w:rsidRDefault="00392C46"/>
    <w:p w:rsidR="00392C46" w:rsidRDefault="00392C46">
      <w:r>
        <w:rPr>
          <w:noProof/>
        </w:rPr>
        <w:lastRenderedPageBreak/>
        <w:drawing>
          <wp:inline distT="0" distB="0" distL="0" distR="0" wp14:anchorId="5E5FE469" wp14:editId="338FF760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92C46" w:rsidRDefault="00392C46"/>
    <w:p w:rsidR="00392C46" w:rsidRDefault="00392C46">
      <w:r>
        <w:rPr>
          <w:noProof/>
        </w:rPr>
        <w:drawing>
          <wp:inline distT="0" distB="0" distL="0" distR="0" wp14:anchorId="39987F63" wp14:editId="1E99472F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92C46" w:rsidRDefault="00392C46"/>
    <w:p w:rsidR="00392C46" w:rsidRDefault="00392C46"/>
    <w:p w:rsidR="00392C46" w:rsidRDefault="00392C46"/>
    <w:p w:rsidR="00392C46" w:rsidRDefault="00392C46"/>
    <w:p w:rsidR="00392C46" w:rsidRDefault="00392C46"/>
    <w:p w:rsidR="00392C46" w:rsidRDefault="00392C46"/>
    <w:p w:rsidR="00392C46" w:rsidRDefault="00392C46"/>
    <w:p w:rsidR="00392C46" w:rsidRDefault="00392C46"/>
    <w:p w:rsidR="00392C46" w:rsidRDefault="00392C46">
      <w:r>
        <w:rPr>
          <w:noProof/>
        </w:rPr>
        <w:lastRenderedPageBreak/>
        <w:drawing>
          <wp:inline distT="0" distB="0" distL="0" distR="0" wp14:anchorId="591E783F" wp14:editId="4020D27C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0" w:name="_GoBack"/>
      <w:bookmarkEnd w:id="0"/>
    </w:p>
    <w:p w:rsidR="00392C46" w:rsidRDefault="00392C46"/>
    <w:sectPr w:rsidR="0039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46"/>
    <w:rsid w:val="001B1392"/>
    <w:rsid w:val="00392C46"/>
    <w:rsid w:val="0072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3703B-7A7B-44C3-8DE2-7470372F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results-20161017-190325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results-20161017-190325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results-20161017-190325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results-20161017-190325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results-20161017-190325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results-20161017-190325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results-20161017-190325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results-20161017-190325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results-20161017-190325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Anoka </a:t>
            </a:r>
            <a:r>
              <a:rPr lang="en-US" sz="1400" b="0" i="0" u="none" strike="noStrike" baseline="0"/>
              <a:t>Recreational Suitability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'results-20161017-190325'!$B$2:$B$35</c:f>
              <c:numCache>
                <c:formatCode>General</c:formatCode>
                <c:ptCount val="34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1993</c:v>
                </c:pt>
                <c:pt idx="13">
                  <c:v>1994</c:v>
                </c:pt>
                <c:pt idx="14">
                  <c:v>1995</c:v>
                </c:pt>
                <c:pt idx="15">
                  <c:v>1996</c:v>
                </c:pt>
                <c:pt idx="16">
                  <c:v>1997</c:v>
                </c:pt>
                <c:pt idx="17">
                  <c:v>1998</c:v>
                </c:pt>
                <c:pt idx="18">
                  <c:v>1999</c:v>
                </c:pt>
                <c:pt idx="19">
                  <c:v>2000</c:v>
                </c:pt>
                <c:pt idx="20">
                  <c:v>2001</c:v>
                </c:pt>
                <c:pt idx="21">
                  <c:v>2002</c:v>
                </c:pt>
                <c:pt idx="22">
                  <c:v>2003</c:v>
                </c:pt>
                <c:pt idx="23">
                  <c:v>2004</c:v>
                </c:pt>
                <c:pt idx="24">
                  <c:v>2005</c:v>
                </c:pt>
                <c:pt idx="25">
                  <c:v>2006</c:v>
                </c:pt>
                <c:pt idx="26">
                  <c:v>2007</c:v>
                </c:pt>
                <c:pt idx="27">
                  <c:v>2008</c:v>
                </c:pt>
                <c:pt idx="28">
                  <c:v>2009</c:v>
                </c:pt>
                <c:pt idx="29">
                  <c:v>2010</c:v>
                </c:pt>
                <c:pt idx="30">
                  <c:v>2011</c:v>
                </c:pt>
                <c:pt idx="31">
                  <c:v>2012</c:v>
                </c:pt>
                <c:pt idx="32">
                  <c:v>2013</c:v>
                </c:pt>
                <c:pt idx="33">
                  <c:v>2014</c:v>
                </c:pt>
              </c:numCache>
            </c:numRef>
          </c:xVal>
          <c:yVal>
            <c:numRef>
              <c:f>'results-20161017-190325'!$C$2:$C$35</c:f>
              <c:numCache>
                <c:formatCode>General</c:formatCode>
                <c:ptCount val="34"/>
                <c:pt idx="12">
                  <c:v>4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4</c:v>
                </c:pt>
                <c:pt idx="28">
                  <c:v>5</c:v>
                </c:pt>
                <c:pt idx="29">
                  <c:v>4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5936496"/>
        <c:axId val="435941200"/>
      </c:scatterChart>
      <c:valAx>
        <c:axId val="435936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941200"/>
        <c:crosses val="autoZero"/>
        <c:crossBetween val="midCat"/>
      </c:valAx>
      <c:valAx>
        <c:axId val="435941200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936496"/>
        <c:crosses val="autoZero"/>
        <c:crossBetween val="midCat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Carver County </a:t>
            </a:r>
            <a:r>
              <a:rPr lang="en-US" sz="1400" b="0" i="0" u="none" strike="noStrike" baseline="0"/>
              <a:t>Recreational Suitability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'results-20161017-190325'!$B$36:$B$68</c:f>
              <c:numCache>
                <c:formatCode>General</c:formatCode>
                <c:ptCount val="33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1989</c:v>
                </c:pt>
                <c:pt idx="9">
                  <c:v>1990</c:v>
                </c:pt>
                <c:pt idx="10">
                  <c:v>1991</c:v>
                </c:pt>
                <c:pt idx="11">
                  <c:v>1993</c:v>
                </c:pt>
                <c:pt idx="12">
                  <c:v>1994</c:v>
                </c:pt>
                <c:pt idx="13">
                  <c:v>1995</c:v>
                </c:pt>
                <c:pt idx="14">
                  <c:v>1996</c:v>
                </c:pt>
                <c:pt idx="15">
                  <c:v>1997</c:v>
                </c:pt>
                <c:pt idx="16">
                  <c:v>1998</c:v>
                </c:pt>
                <c:pt idx="17">
                  <c:v>1999</c:v>
                </c:pt>
                <c:pt idx="18">
                  <c:v>2000</c:v>
                </c:pt>
                <c:pt idx="19">
                  <c:v>2001</c:v>
                </c:pt>
                <c:pt idx="20">
                  <c:v>2002</c:v>
                </c:pt>
                <c:pt idx="21">
                  <c:v>2003</c:v>
                </c:pt>
                <c:pt idx="22">
                  <c:v>2004</c:v>
                </c:pt>
                <c:pt idx="23">
                  <c:v>2005</c:v>
                </c:pt>
                <c:pt idx="24">
                  <c:v>2006</c:v>
                </c:pt>
                <c:pt idx="25">
                  <c:v>2007</c:v>
                </c:pt>
                <c:pt idx="26">
                  <c:v>2008</c:v>
                </c:pt>
                <c:pt idx="27">
                  <c:v>2009</c:v>
                </c:pt>
                <c:pt idx="28">
                  <c:v>2010</c:v>
                </c:pt>
                <c:pt idx="29">
                  <c:v>2011</c:v>
                </c:pt>
                <c:pt idx="30">
                  <c:v>2012</c:v>
                </c:pt>
                <c:pt idx="31">
                  <c:v>2013</c:v>
                </c:pt>
                <c:pt idx="32">
                  <c:v>2014</c:v>
                </c:pt>
              </c:numCache>
            </c:numRef>
          </c:xVal>
          <c:yVal>
            <c:numRef>
              <c:f>'results-20161017-190325'!$C$36:$C$68</c:f>
              <c:numCache>
                <c:formatCode>General</c:formatCode>
                <c:ptCount val="33"/>
                <c:pt idx="11">
                  <c:v>4</c:v>
                </c:pt>
                <c:pt idx="12">
                  <c:v>3</c:v>
                </c:pt>
                <c:pt idx="13">
                  <c:v>3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5944336"/>
        <c:axId val="435945120"/>
      </c:scatterChart>
      <c:valAx>
        <c:axId val="435944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945120"/>
        <c:crosses val="autoZero"/>
        <c:crossBetween val="midCat"/>
      </c:valAx>
      <c:valAx>
        <c:axId val="435945120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944336"/>
        <c:crosses val="autoZero"/>
        <c:crossBetween val="midCat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>
                <a:latin typeface="+mn-lt"/>
              </a:rPr>
              <a:t>Chisago </a:t>
            </a:r>
            <a:r>
              <a:rPr lang="en-US" sz="1400" b="0" i="0" baseline="0">
                <a:effectLst/>
                <a:latin typeface="+mn-lt"/>
              </a:rPr>
              <a:t>County Recreational Suitability</a:t>
            </a:r>
            <a:endParaRPr lang="en-US" sz="1400" b="0">
              <a:effectLst/>
              <a:latin typeface="+mn-lt"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'results-20161017-190325'!$B$69:$B$85</c:f>
              <c:numCache>
                <c:formatCode>General</c:formatCode>
                <c:ptCount val="17"/>
                <c:pt idx="0">
                  <c:v>1994</c:v>
                </c:pt>
                <c:pt idx="1">
                  <c:v>1997</c:v>
                </c:pt>
                <c:pt idx="2">
                  <c:v>2000</c:v>
                </c:pt>
                <c:pt idx="3">
                  <c:v>2001</c:v>
                </c:pt>
                <c:pt idx="4">
                  <c:v>2002</c:v>
                </c:pt>
                <c:pt idx="5">
                  <c:v>2003</c:v>
                </c:pt>
                <c:pt idx="6">
                  <c:v>2004</c:v>
                </c:pt>
                <c:pt idx="7">
                  <c:v>2005</c:v>
                </c:pt>
                <c:pt idx="8">
                  <c:v>2006</c:v>
                </c:pt>
                <c:pt idx="9">
                  <c:v>2007</c:v>
                </c:pt>
                <c:pt idx="10">
                  <c:v>2008</c:v>
                </c:pt>
                <c:pt idx="11">
                  <c:v>2009</c:v>
                </c:pt>
                <c:pt idx="12">
                  <c:v>2010</c:v>
                </c:pt>
                <c:pt idx="13">
                  <c:v>2011</c:v>
                </c:pt>
                <c:pt idx="14">
                  <c:v>2012</c:v>
                </c:pt>
                <c:pt idx="15">
                  <c:v>2013</c:v>
                </c:pt>
                <c:pt idx="16">
                  <c:v>2014</c:v>
                </c:pt>
              </c:numCache>
            </c:numRef>
          </c:xVal>
          <c:yVal>
            <c:numRef>
              <c:f>'results-20161017-190325'!$C$69:$C$85</c:f>
              <c:numCache>
                <c:formatCode>General</c:formatCode>
                <c:ptCount val="17"/>
                <c:pt idx="1">
                  <c:v>3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3</c:v>
                </c:pt>
                <c:pt idx="6">
                  <c:v>3</c:v>
                </c:pt>
                <c:pt idx="7">
                  <c:v>5</c:v>
                </c:pt>
                <c:pt idx="8">
                  <c:v>5</c:v>
                </c:pt>
                <c:pt idx="9">
                  <c:v>4</c:v>
                </c:pt>
                <c:pt idx="10">
                  <c:v>3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5933752"/>
        <c:axId val="435948256"/>
      </c:scatterChart>
      <c:valAx>
        <c:axId val="435933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948256"/>
        <c:crosses val="autoZero"/>
        <c:crossBetween val="midCat"/>
      </c:valAx>
      <c:valAx>
        <c:axId val="435948256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933752"/>
        <c:crosses val="autoZero"/>
        <c:crossBetween val="midCat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Dakota </a:t>
            </a:r>
            <a:r>
              <a:rPr lang="en-US" sz="1400" b="0" i="0" baseline="0">
                <a:effectLst/>
              </a:rPr>
              <a:t>County Recreational Suitability</a:t>
            </a:r>
            <a:endParaRPr lang="en-US" sz="14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layout>
        <c:manualLayout>
          <c:xMode val="edge"/>
          <c:yMode val="edge"/>
          <c:x val="0.21647222222222223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'results-20161017-190325'!$B$86:$B$120</c:f>
              <c:numCache>
                <c:formatCode>General</c:formatCode>
                <c:ptCount val="35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</c:numCache>
            </c:numRef>
          </c:xVal>
          <c:yVal>
            <c:numRef>
              <c:f>'results-20161017-190325'!$C$86:$C$120</c:f>
              <c:numCache>
                <c:formatCode>General</c:formatCode>
                <c:ptCount val="35"/>
                <c:pt idx="13">
                  <c:v>4</c:v>
                </c:pt>
                <c:pt idx="14">
                  <c:v>4</c:v>
                </c:pt>
                <c:pt idx="15">
                  <c:v>5</c:v>
                </c:pt>
                <c:pt idx="16">
                  <c:v>4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631352"/>
        <c:axId val="439633312"/>
      </c:scatterChart>
      <c:valAx>
        <c:axId val="439631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633312"/>
        <c:crosses val="autoZero"/>
        <c:crossBetween val="midCat"/>
      </c:valAx>
      <c:valAx>
        <c:axId val="439633312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631352"/>
        <c:crosses val="autoZero"/>
        <c:crossBetween val="midCat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Goodhue </a:t>
            </a:r>
            <a:r>
              <a:rPr lang="en-US" sz="1400" b="0" i="0" baseline="0">
                <a:effectLst/>
              </a:rPr>
              <a:t>County Recreational Suitability</a:t>
            </a:r>
            <a:endParaRPr lang="en-US" sz="14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'results-20161017-190325'!$B$121:$B$123</c:f>
              <c:numCache>
                <c:formatCode>General</c:formatCode>
                <c:ptCount val="3"/>
                <c:pt idx="0">
                  <c:v>1993</c:v>
                </c:pt>
                <c:pt idx="1">
                  <c:v>1994</c:v>
                </c:pt>
                <c:pt idx="2">
                  <c:v>1995</c:v>
                </c:pt>
              </c:numCache>
            </c:numRef>
          </c:xVal>
          <c:yVal>
            <c:numRef>
              <c:f>'results-20161017-190325'!$C$121:$C$123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636448"/>
        <c:axId val="439632136"/>
      </c:scatterChart>
      <c:valAx>
        <c:axId val="439636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632136"/>
        <c:crosses val="autoZero"/>
        <c:crossBetween val="midCat"/>
      </c:valAx>
      <c:valAx>
        <c:axId val="439632136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636448"/>
        <c:crosses val="autoZero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Hennepin </a:t>
            </a:r>
            <a:r>
              <a:rPr lang="en-US" sz="1400" b="0" i="0" baseline="0">
                <a:effectLst/>
              </a:rPr>
              <a:t>County Recreational Suitability</a:t>
            </a:r>
            <a:endParaRPr lang="en-US" sz="14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'results-20161017-190325'!$B$124:$B$157</c:f>
              <c:numCache>
                <c:formatCode>General</c:formatCode>
                <c:ptCount val="34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1993</c:v>
                </c:pt>
                <c:pt idx="13">
                  <c:v>1994</c:v>
                </c:pt>
                <c:pt idx="14">
                  <c:v>1995</c:v>
                </c:pt>
                <c:pt idx="15">
                  <c:v>1996</c:v>
                </c:pt>
                <c:pt idx="16">
                  <c:v>1997</c:v>
                </c:pt>
                <c:pt idx="17">
                  <c:v>1998</c:v>
                </c:pt>
                <c:pt idx="18">
                  <c:v>1999</c:v>
                </c:pt>
                <c:pt idx="19">
                  <c:v>2000</c:v>
                </c:pt>
                <c:pt idx="20">
                  <c:v>2001</c:v>
                </c:pt>
                <c:pt idx="21">
                  <c:v>2002</c:v>
                </c:pt>
                <c:pt idx="22">
                  <c:v>2003</c:v>
                </c:pt>
                <c:pt idx="23">
                  <c:v>2004</c:v>
                </c:pt>
                <c:pt idx="24">
                  <c:v>2005</c:v>
                </c:pt>
                <c:pt idx="25">
                  <c:v>2006</c:v>
                </c:pt>
                <c:pt idx="26">
                  <c:v>2007</c:v>
                </c:pt>
                <c:pt idx="27">
                  <c:v>2008</c:v>
                </c:pt>
                <c:pt idx="28">
                  <c:v>2009</c:v>
                </c:pt>
                <c:pt idx="29">
                  <c:v>2010</c:v>
                </c:pt>
                <c:pt idx="30">
                  <c:v>2011</c:v>
                </c:pt>
                <c:pt idx="31">
                  <c:v>2012</c:v>
                </c:pt>
                <c:pt idx="32">
                  <c:v>2013</c:v>
                </c:pt>
                <c:pt idx="33">
                  <c:v>2014</c:v>
                </c:pt>
              </c:numCache>
            </c:numRef>
          </c:xVal>
          <c:yVal>
            <c:numRef>
              <c:f>'results-20161017-190325'!$C$124:$C$157</c:f>
              <c:numCache>
                <c:formatCode>General</c:formatCode>
                <c:ptCount val="34"/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4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633704"/>
        <c:axId val="439627824"/>
      </c:scatterChart>
      <c:valAx>
        <c:axId val="439633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627824"/>
        <c:crosses val="autoZero"/>
        <c:crossBetween val="midCat"/>
      </c:valAx>
      <c:valAx>
        <c:axId val="439627824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633704"/>
        <c:crosses val="autoZero"/>
        <c:crossBetween val="midCat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Ramsey </a:t>
            </a:r>
            <a:r>
              <a:rPr lang="en-US" sz="1400" b="0" i="0" baseline="0">
                <a:effectLst/>
              </a:rPr>
              <a:t>County Recreational Suitability</a:t>
            </a:r>
            <a:endParaRPr lang="en-US" sz="14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'results-20161017-190325'!$B$159:$B$193</c:f>
              <c:numCache>
                <c:formatCode>General</c:formatCode>
                <c:ptCount val="35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</c:numCache>
            </c:numRef>
          </c:xVal>
          <c:yVal>
            <c:numRef>
              <c:f>'results-20161017-190325'!$C$159:$C$193</c:f>
              <c:numCache>
                <c:formatCode>General</c:formatCode>
                <c:ptCount val="35"/>
                <c:pt idx="20">
                  <c:v>3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4</c:v>
                </c:pt>
                <c:pt idx="25">
                  <c:v>5</c:v>
                </c:pt>
                <c:pt idx="26">
                  <c:v>5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639584"/>
        <c:axId val="439634096"/>
      </c:scatterChart>
      <c:valAx>
        <c:axId val="439639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634096"/>
        <c:crosses val="autoZero"/>
        <c:crossBetween val="midCat"/>
      </c:valAx>
      <c:valAx>
        <c:axId val="439634096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639584"/>
        <c:crosses val="autoZero"/>
        <c:crossBetween val="midCat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Scott </a:t>
            </a:r>
            <a:r>
              <a:rPr lang="en-US" sz="1400" b="0" i="0" baseline="0">
                <a:effectLst/>
              </a:rPr>
              <a:t>County Recreational Suitability</a:t>
            </a:r>
            <a:endParaRPr lang="en-US" sz="14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'results-20161017-190325'!$B$195:$B$224</c:f>
              <c:numCache>
                <c:formatCode>General</c:formatCode>
                <c:ptCount val="30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1984</c:v>
                </c:pt>
                <c:pt idx="4">
                  <c:v>1985</c:v>
                </c:pt>
                <c:pt idx="5">
                  <c:v>1989</c:v>
                </c:pt>
                <c:pt idx="6">
                  <c:v>1990</c:v>
                </c:pt>
                <c:pt idx="7">
                  <c:v>1992</c:v>
                </c:pt>
                <c:pt idx="8">
                  <c:v>1993</c:v>
                </c:pt>
                <c:pt idx="9">
                  <c:v>1994</c:v>
                </c:pt>
                <c:pt idx="10">
                  <c:v>1995</c:v>
                </c:pt>
                <c:pt idx="11">
                  <c:v>1996</c:v>
                </c:pt>
                <c:pt idx="12">
                  <c:v>1997</c:v>
                </c:pt>
                <c:pt idx="13">
                  <c:v>1998</c:v>
                </c:pt>
                <c:pt idx="14">
                  <c:v>1999</c:v>
                </c:pt>
                <c:pt idx="15">
                  <c:v>2000</c:v>
                </c:pt>
                <c:pt idx="16">
                  <c:v>2001</c:v>
                </c:pt>
                <c:pt idx="17">
                  <c:v>2002</c:v>
                </c:pt>
                <c:pt idx="18">
                  <c:v>2003</c:v>
                </c:pt>
                <c:pt idx="19">
                  <c:v>2004</c:v>
                </c:pt>
                <c:pt idx="20">
                  <c:v>2005</c:v>
                </c:pt>
                <c:pt idx="21">
                  <c:v>2006</c:v>
                </c:pt>
                <c:pt idx="22">
                  <c:v>2007</c:v>
                </c:pt>
                <c:pt idx="23">
                  <c:v>2008</c:v>
                </c:pt>
                <c:pt idx="24">
                  <c:v>2009</c:v>
                </c:pt>
                <c:pt idx="25">
                  <c:v>2010</c:v>
                </c:pt>
                <c:pt idx="26">
                  <c:v>2011</c:v>
                </c:pt>
                <c:pt idx="27">
                  <c:v>2012</c:v>
                </c:pt>
                <c:pt idx="28">
                  <c:v>2013</c:v>
                </c:pt>
                <c:pt idx="29">
                  <c:v>2014</c:v>
                </c:pt>
              </c:numCache>
            </c:numRef>
          </c:xVal>
          <c:yVal>
            <c:numRef>
              <c:f>'results-20161017-190325'!$C$195:$C$224</c:f>
              <c:numCache>
                <c:formatCode>General</c:formatCode>
                <c:ptCount val="30"/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5</c:v>
                </c:pt>
                <c:pt idx="22">
                  <c:v>4</c:v>
                </c:pt>
                <c:pt idx="23">
                  <c:v>4</c:v>
                </c:pt>
                <c:pt idx="24">
                  <c:v>4</c:v>
                </c:pt>
                <c:pt idx="25">
                  <c:v>5</c:v>
                </c:pt>
                <c:pt idx="26">
                  <c:v>5</c:v>
                </c:pt>
                <c:pt idx="27">
                  <c:v>4</c:v>
                </c:pt>
                <c:pt idx="28">
                  <c:v>4</c:v>
                </c:pt>
                <c:pt idx="29">
                  <c:v>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628216"/>
        <c:axId val="439634488"/>
      </c:scatterChart>
      <c:valAx>
        <c:axId val="439628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634488"/>
        <c:crosses val="autoZero"/>
        <c:crossBetween val="midCat"/>
      </c:valAx>
      <c:valAx>
        <c:axId val="439634488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628216"/>
        <c:crosses val="autoZero"/>
        <c:crossBetween val="midCat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Washington </a:t>
            </a:r>
            <a:r>
              <a:rPr lang="en-US" sz="1400" b="0" i="0" baseline="0">
                <a:effectLst/>
              </a:rPr>
              <a:t>County Recreational Suitability</a:t>
            </a:r>
            <a:endParaRPr lang="en-US" sz="14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'results-20161017-190325'!$B$225:$B$259</c:f>
              <c:numCache>
                <c:formatCode>General</c:formatCode>
                <c:ptCount val="35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</c:numCache>
            </c:numRef>
          </c:xVal>
          <c:yVal>
            <c:numRef>
              <c:f>'results-20161017-190325'!$C$225:$C$259</c:f>
              <c:numCache>
                <c:formatCode>General</c:formatCode>
                <c:ptCount val="35"/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629000"/>
        <c:axId val="439629784"/>
      </c:scatterChart>
      <c:valAx>
        <c:axId val="439629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629784"/>
        <c:crosses val="autoZero"/>
        <c:crossBetween val="midCat"/>
      </c:valAx>
      <c:valAx>
        <c:axId val="439629784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629000"/>
        <c:crosses val="autoZero"/>
        <c:crossBetween val="midCat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1</cp:revision>
  <dcterms:created xsi:type="dcterms:W3CDTF">2016-10-29T01:59:00Z</dcterms:created>
  <dcterms:modified xsi:type="dcterms:W3CDTF">2016-10-29T02:13:00Z</dcterms:modified>
</cp:coreProperties>
</file>