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7F8C"/>
          <w:sz w:val="17"/>
          <w:szCs w:val="17"/>
        </w:rPr>
        <w:t xml:space="preserve">C L E A N - R O O M   V A L U A T I O N</w:t>
      </w:r>
    </w:p>
    <w:p>
      <w:pPr>
        <w:spacing w:after="60"/>
      </w:pPr>
      <w:r>
        <w:rPr>
          <w:rFonts w:ascii="Calibri" w:cs="Calibri" w:eastAsia="Calibri" w:hAnsi="Calibri"/>
          <w:b/>
          <w:bCs/>
          <w:color w:val="0F4C5C"/>
          <w:sz w:val="44"/>
          <w:szCs w:val="44"/>
        </w:rPr>
        <w:t xml:space="preserve">SonoFit AS</w:t>
      </w:r>
    </w:p>
    <w:p>
      <w:pPr>
        <w:pBdr>
          <w:bottom w:val="single" w:color="1B7F8C" w:sz="12" w:space="8"/>
        </w:pBdr>
        <w:spacing w:after="240"/>
      </w:pPr>
      <w:r>
        <w:rPr>
          <w:rFonts w:ascii="Calibri" w:cs="Calibri" w:eastAsia="Calibri" w:hAnsi="Calibri"/>
          <w:color w:val="5A6068"/>
          <w:sz w:val="23"/>
          <w:szCs w:val="23"/>
        </w:rPr>
        <w:t xml:space="preserve">An equity value built without reference to the September 2025 share issue</w:t>
      </w:r>
    </w:p>
    <w:p>
      <w:pPr>
        <w:spacing w:after="12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2200"/>
        <w:gridCol w:w="7160"/>
      </w:tblGrid>
      <w:tr>
        <w:trPr>
          <w:cantSplit/>
          <w:tblHeader/>
        </w:trPr>
        <w:tc>
          <w:tcPr>
            <w:tcW w:type="dxa" w:w="22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Field</w:t>
            </w:r>
          </w:p>
        </w:tc>
        <w:tc>
          <w:tcPr>
            <w:tcW w:type="dxa" w:w="716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Detail</w:t>
            </w:r>
          </w:p>
        </w:tc>
      </w:tr>
      <w:tr>
        <w:trPr>
          <w:cantSplit/>
          <w:tblHeader w:val="false"/>
        </w:trPr>
        <w:tc>
          <w:tcPr>
            <w:tcW w:type="dxa" w:w="2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Prepared for</w:t>
            </w:r>
          </w:p>
        </w:tc>
        <w:tc>
          <w:tcPr>
            <w:tcW w:type="dxa" w:w="71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Tryggve Klevstul-Jensen (tryggve@sonofit.no)</w:t>
            </w:r>
          </w:p>
        </w:tc>
      </w:tr>
      <w:tr>
        <w:trPr>
          <w:cantSplit/>
          <w:tblHeader w:val="false"/>
        </w:trPr>
        <w:tc>
          <w:tcPr>
            <w:tcW w:type="dxa" w:w="22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Subject</w:t>
            </w:r>
          </w:p>
        </w:tc>
        <w:tc>
          <w:tcPr>
            <w:tcW w:type="dxa" w:w="71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SonoFit AS, org. no. 934 341 031, Trondheim</w:t>
            </w:r>
          </w:p>
        </w:tc>
      </w:tr>
      <w:tr>
        <w:trPr>
          <w:cantSplit/>
          <w:tblHeader w:val="false"/>
        </w:trPr>
        <w:tc>
          <w:tcPr>
            <w:tcW w:type="dxa" w:w="2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Mandate</w:t>
            </w:r>
          </w:p>
        </w:tc>
        <w:tc>
          <w:tcPr>
            <w:tcW w:type="dxa" w:w="71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Estimate equity value from fundamentals only, with the 15 % share purchase of September 2025 excluded from all inputs</w:t>
            </w:r>
          </w:p>
        </w:tc>
      </w:tr>
      <w:tr>
        <w:trPr>
          <w:cantSplit/>
          <w:tblHeader w:val="false"/>
        </w:trPr>
        <w:tc>
          <w:tcPr>
            <w:tcW w:type="dxa" w:w="22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Date</w:t>
            </w:r>
          </w:p>
        </w:tc>
        <w:tc>
          <w:tcPr>
            <w:tcW w:type="dxa" w:w="71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8 August 2026</w:t>
            </w:r>
          </w:p>
        </w:tc>
      </w:tr>
      <w:tr>
        <w:trPr>
          <w:cantSplit/>
          <w:tblHeader w:val="false"/>
        </w:trPr>
        <w:tc>
          <w:tcPr>
            <w:tcW w:type="dxa" w:w="2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Methods</w:t>
            </w:r>
          </w:p>
        </w:tc>
        <w:tc>
          <w:tcPr>
            <w:tcW w:type="dxa" w:w="71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Replacement cost, acqui-hire floor, Berkus, Scorecard, Risk Factor Summation, VC method, comparable transactions</w:t>
            </w:r>
          </w:p>
        </w:tc>
      </w:tr>
      <w:tr>
        <w:trPr>
          <w:cantSplit/>
          <w:tblHeader w:val="false"/>
        </w:trPr>
        <w:tc>
          <w:tcPr>
            <w:tcW w:type="dxa" w:w="22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Status</w:t>
            </w:r>
          </w:p>
        </w:tc>
        <w:tc>
          <w:tcPr>
            <w:tcW w:type="dxa" w:w="71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Indicative estimate. Not an audited or independent valuation opinion.</w:t>
            </w:r>
          </w:p>
        </w:tc>
      </w:tr>
    </w:tbl>
    <w:p>
      <w:pPr>
        <w:spacing w:after="240"/>
      </w:pPr>
      <w:r>
        <w:rPr>
          <w:sz w:val="2"/>
          <w:szCs w:val="2"/>
        </w:rPr>
        <w:t xml:space="preserve"/>
      </w:r>
    </w:p>
    <w:tbl>
      <w:tblPr>
        <w:tblW w:type="dxa" w:w="9360"/>
        <w:tblBorders>
          <w:top w:val="none" w:color="FFFFFF" w:sz="0"/>
          <w:left w:val="single" w:color="1B7F8C" w:sz="18"/>
          <w:bottom w:val="none" w:color="FFFFFF" w:sz="0"/>
          <w:right w:val="none" w:color="FFFFFF" w:sz="0"/>
          <w:insideH w:val="none" w:color="FFFFFF" w:sz="0"/>
          <w:insideV w:val="none" w:color="FFFFFF" w:sz="0"/>
        </w:tblBorders>
      </w:tblPr>
      <w:tblGrid>
        <w:gridCol w:w="9360"/>
      </w:tblGrid>
      <w:tr>
        <w:tc>
          <w:tcPr>
            <w:tcW w:type="dxa" w:w="9360"/>
            <w:shd w:fill="EDF3F4" w:color="auto" w:val="clear"/>
            <w:tcMar>
              <w:top w:type="dxa" w:w="150"/>
              <w:left w:type="dxa" w:w="200"/>
              <w:bottom w:type="dxa" w:w="150"/>
              <w:right w:type="dxa" w:w="200"/>
            </w:tcMar>
          </w:tcPr>
          <w:p>
            <w:pPr>
              <w:spacing w:after="80"/>
            </w:pPr>
            <w:r>
              <w:rPr>
                <w:rFonts w:ascii="Calibri" w:cs="Calibri" w:eastAsia="Calibri" w:hAnsi="Calibri"/>
                <w:b/>
                <w:bCs/>
                <w:color w:val="0F4C5C"/>
                <w:sz w:val="21"/>
                <w:szCs w:val="21"/>
              </w:rPr>
              <w:t xml:space="preserve">The headline</w:t>
            </w:r>
          </w:p>
          <w:p>
            <w:pPr>
              <w:spacing w:after="0" w:line="276"/>
            </w:pPr>
            <w:r>
              <w:rPr>
                <w:rFonts w:ascii="Calibri" w:cs="Calibri" w:eastAsia="Calibri" w:hAnsi="Calibri"/>
                <w:color w:val="222629"/>
                <w:sz w:val="20"/>
                <w:szCs w:val="20"/>
              </w:rPr>
              <w:t xml:space="preserve">Seven independent methods put SonoFit at NOK 25 million, roughly NOK 210 per share, within a range of NOK 15–40 million. That is materially below the NOK 45 million derived from the September 2025 round in the companion paper. The gap is the most useful output of this exercise, and section 12 argues it most likely means the September 2025 raise was smaller than the NOK 6 million previously assumed — closer to NOK 4 million. Reconciling both approaches gives a central figure of NOK 30 million.</w:t>
            </w:r>
          </w:p>
        </w:tc>
      </w:tr>
    </w:tbl>
    <w:p>
      <w:pPr>
        <w:spacing w:after="200"/>
      </w:pPr>
      <w:r>
        <w:rPr>
          <w:sz w:val="2"/>
          <w:szCs w:val="2"/>
        </w:rPr>
        <w:t xml:space="preserve"/>
      </w:r>
    </w:p>
    <w:p>
      <w:pPr>
        <w:pBdr>
          <w:bottom w:val="single" w:color="C9D6D9" w:sz="6" w:space="6"/>
        </w:pBdr>
        <w:spacing w:after="160" w:before="320"/>
      </w:pPr>
      <w:r>
        <w:rPr>
          <w:rFonts w:ascii="Calibri" w:cs="Calibri" w:eastAsia="Calibri" w:hAnsi="Calibri"/>
          <w:b/>
          <w:bCs/>
          <w:color w:val="0F4C5C"/>
          <w:sz w:val="27"/>
          <w:szCs w:val="27"/>
        </w:rPr>
        <w:t xml:space="preserve">1. What this paper is, and what has been kept out of it</w:t>
      </w:r>
    </w:p>
    <w:p>
      <w:pPr>
        <w:spacing w:after="140" w:line="276"/>
      </w:pPr>
      <w:r>
        <w:rPr>
          <w:rFonts w:ascii="Calibri" w:cs="Calibri" w:eastAsia="Calibri" w:hAnsi="Calibri"/>
          <w:color w:val="222629"/>
          <w:sz w:val="21"/>
          <w:szCs w:val="21"/>
        </w:rPr>
        <w:t xml:space="preserve">The companion valuation rests on a single load-bearing observation: SonoFit's share count moved from 100 000 to 117 648 on 22 September 2025, which is precisely 15 per cent of the company sold post-money. Everything downstream of that — the implied post-money, the per-share figures, the step-up logic — inherits whatever error sits in the assumed size of that raise. Since the subscription amount is not in the public record, that is a real exposure.</w:t>
      </w:r>
    </w:p>
    <w:p>
      <w:pPr>
        <w:spacing w:after="140" w:line="276"/>
      </w:pPr>
      <w:r>
        <w:rPr>
          <w:rFonts w:ascii="Calibri" w:cs="Calibri" w:eastAsia="Calibri" w:hAnsi="Calibri"/>
          <w:color w:val="222629"/>
          <w:sz w:val="21"/>
          <w:szCs w:val="21"/>
        </w:rPr>
        <w:t xml:space="preserve">This paper removes the dependency. It builds a value for SonoFit from fundamentals: what it would cost to recreate, what the team and IP are worth to an acquirer, what stage-appropriate scoring frameworks say, what the exit maths supports, and what comparable companies have been worth. The September 2025 transaction is excluded from every input in sections 4 through 11. Only in section 12 do the two approaches meet.</w:t>
      </w:r>
    </w:p>
    <w:p>
      <w:pPr>
        <w:spacing w:after="140" w:line="276"/>
      </w:pPr>
      <w:r>
        <w:rPr>
          <w:rFonts w:ascii="Calibri" w:cs="Calibri" w:eastAsia="Calibri" w:hAnsi="Calibri"/>
          <w:color w:val="222629"/>
          <w:sz w:val="21"/>
          <w:szCs w:val="21"/>
        </w:rPr>
        <w:t xml:space="preserve">The exclusion is not total in one narrow sense: the share count of 117 648 is used to convert equity values into per-share figures. That number is a fact on the public register and carries no pricing information whatsoever, so using it does not contaminate the estimate.</w:t>
      </w:r>
    </w:p>
    <w:p>
      <w:pPr>
        <w:spacing w:after="120" w:before="240"/>
      </w:pPr>
      <w:r>
        <w:rPr>
          <w:rFonts w:ascii="Calibri" w:cs="Calibri" w:eastAsia="Calibri" w:hAnsi="Calibri"/>
          <w:b/>
          <w:bCs/>
          <w:color w:val="1B7F8C"/>
          <w:sz w:val="22"/>
          <w:szCs w:val="22"/>
        </w:rPr>
        <w:t xml:space="preserve">Currency assumptions</w:t>
      </w:r>
    </w:p>
    <w:p>
      <w:pPr>
        <w:spacing w:after="140" w:line="276"/>
      </w:pPr>
      <w:r>
        <w:rPr>
          <w:rFonts w:ascii="Calibri" w:cs="Calibri" w:eastAsia="Calibri" w:hAnsi="Calibri"/>
          <w:color w:val="222629"/>
          <w:sz w:val="21"/>
          <w:szCs w:val="21"/>
        </w:rPr>
        <w:t xml:space="preserve">Base rates in this sector are published in euro and dollars. Conversions use EUR/NOK 11.0 and USD/NOK 9.5, approximately the spot rates in early August 2026. The krone strengthened by roughly eight per cent against the euro over the preceding twelve months, so figures converted from 2025 source data at 2026 rates read slightly lower in kroner than they would have a year ago. This is worth remembering when comparing against a valuation struck in September 2025.</w:t>
      </w:r>
    </w:p>
    <w:p>
      <w:pPr>
        <w:pBdr>
          <w:bottom w:val="single" w:color="C9D6D9" w:sz="6" w:space="6"/>
        </w:pBdr>
        <w:spacing w:after="160" w:before="320"/>
      </w:pPr>
      <w:r>
        <w:rPr>
          <w:rFonts w:ascii="Calibri" w:cs="Calibri" w:eastAsia="Calibri" w:hAnsi="Calibri"/>
          <w:b/>
          <w:bCs/>
          <w:color w:val="0F4C5C"/>
          <w:sz w:val="27"/>
          <w:szCs w:val="27"/>
        </w:rPr>
        <w:t xml:space="preserve">2. The company, in facts only</w:t>
      </w:r>
    </w:p>
    <w:p>
      <w:pPr>
        <w:spacing w:after="140" w:line="276"/>
      </w:pPr>
      <w:r>
        <w:rPr>
          <w:rFonts w:ascii="Calibri" w:cs="Calibri" w:eastAsia="Calibri" w:hAnsi="Calibri"/>
          <w:color w:val="222629"/>
          <w:sz w:val="21"/>
          <w:szCs w:val="21"/>
        </w:rPr>
        <w:t xml:space="preserve">Everything below is drawn from the Brønnøysund register extract of 2 August 2026, the company website and public reporting. No inference yet.</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3100"/>
        <w:gridCol w:w="6260"/>
      </w:tblGrid>
      <w:tr>
        <w:trPr>
          <w:cantSplit/>
          <w:tblHeader/>
        </w:trPr>
        <w:tc>
          <w:tcPr>
            <w:tcW w:type="dxa" w:w="31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Item</w:t>
            </w:r>
          </w:p>
        </w:tc>
        <w:tc>
          <w:tcPr>
            <w:tcW w:type="dxa" w:w="626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Fact</w:t>
            </w:r>
          </w:p>
        </w:tc>
      </w:tr>
      <w:tr>
        <w:trPr>
          <w:cantSplit/>
          <w:tblHeader w:val="false"/>
        </w:trPr>
        <w:tc>
          <w:tcPr>
            <w:tcW w:type="dxa" w:w="31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Incorporated</w:t>
            </w:r>
          </w:p>
        </w:tc>
        <w:tc>
          <w:tcPr>
            <w:tcW w:type="dxa" w:w="62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8 October 2024; registered 24 October 2024. Twenty-two months old at the valuation date.</w:t>
            </w:r>
          </w:p>
        </w:tc>
      </w:tr>
      <w:tr>
        <w:trPr>
          <w:cantSplit/>
          <w:tblHeader w:val="false"/>
        </w:trPr>
        <w:tc>
          <w:tcPr>
            <w:tcW w:type="dxa" w:w="31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Registered activity</w:t>
            </w:r>
          </w:p>
        </w:tc>
        <w:tc>
          <w:tcPr>
            <w:tcW w:type="dxa" w:w="62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NACE 26.510 — instruments for measuring, testing and navigation</w:t>
            </w:r>
          </w:p>
        </w:tc>
      </w:tr>
      <w:tr>
        <w:trPr>
          <w:cantSplit/>
          <w:tblHeader w:val="false"/>
        </w:trPr>
        <w:tc>
          <w:tcPr>
            <w:tcW w:type="dxa" w:w="31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Location</w:t>
            </w:r>
          </w:p>
        </w:tc>
        <w:tc>
          <w:tcPr>
            <w:tcW w:type="dxa" w:w="62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Schultz gate 1, 7013 Trondheim</w:t>
            </w:r>
          </w:p>
        </w:tc>
      </w:tr>
      <w:tr>
        <w:trPr>
          <w:cantSplit/>
          <w:tblHeader w:val="false"/>
        </w:trPr>
        <w:tc>
          <w:tcPr>
            <w:tcW w:type="dxa" w:w="31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Employees</w:t>
            </w:r>
          </w:p>
        </w:tc>
        <w:tc>
          <w:tcPr>
            <w:tcW w:type="dxa" w:w="62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9 as at 10 July 2026</w:t>
            </w:r>
          </w:p>
        </w:tc>
      </w:tr>
      <w:tr>
        <w:trPr>
          <w:cantSplit/>
          <w:tblHeader w:val="false"/>
        </w:trPr>
        <w:tc>
          <w:tcPr>
            <w:tcW w:type="dxa" w:w="31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Shares in issue</w:t>
            </w:r>
          </w:p>
        </w:tc>
        <w:tc>
          <w:tcPr>
            <w:tcW w:type="dxa" w:w="62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117 648, share capital NOK 117 648, registered 22 September 2025</w:t>
            </w:r>
          </w:p>
        </w:tc>
      </w:tr>
      <w:tr>
        <w:trPr>
          <w:cantSplit/>
          <w:tblHeader w:val="false"/>
        </w:trPr>
        <w:tc>
          <w:tcPr>
            <w:tcW w:type="dxa" w:w="31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Group position</w:t>
            </w:r>
          </w:p>
        </w:tc>
        <w:tc>
          <w:tcPr>
            <w:tcW w:type="dxa" w:w="62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Subsidiary within a group; parent FriggTec AS (org. 934 001 664)</w:t>
            </w:r>
          </w:p>
        </w:tc>
      </w:tr>
      <w:tr>
        <w:trPr>
          <w:cantSplit/>
          <w:tblHeader w:val="false"/>
        </w:trPr>
        <w:tc>
          <w:tcPr>
            <w:tcW w:type="dxa" w:w="31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Governance</w:t>
            </w:r>
          </w:p>
        </w:tc>
        <w:tc>
          <w:tcPr>
            <w:tcW w:type="dxa" w:w="62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Sigmund Frigstad is both general manager and chair; Terje Frigstad is a board member</w:t>
            </w:r>
          </w:p>
        </w:tc>
      </w:tr>
      <w:tr>
        <w:trPr>
          <w:cantSplit/>
          <w:tblHeader w:val="false"/>
        </w:trPr>
        <w:tc>
          <w:tcPr>
            <w:tcW w:type="dxa" w:w="31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Audit</w:t>
            </w:r>
          </w:p>
        </w:tc>
        <w:tc>
          <w:tcPr>
            <w:tcW w:type="dxa" w:w="62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Accounts not audited</w:t>
            </w:r>
          </w:p>
        </w:tc>
      </w:tr>
      <w:tr>
        <w:trPr>
          <w:cantSplit/>
          <w:tblHeader w:val="false"/>
        </w:trPr>
        <w:tc>
          <w:tcPr>
            <w:tcW w:type="dxa" w:w="31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VAT</w:t>
            </w:r>
          </w:p>
        </w:tc>
        <w:tc>
          <w:tcPr>
            <w:tcW w:type="dxa" w:w="62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Registered for VAT on 20 October 2025</w:t>
            </w:r>
          </w:p>
        </w:tc>
      </w:tr>
      <w:tr>
        <w:trPr>
          <w:cantSplit/>
          <w:tblHeader w:val="false"/>
        </w:trPr>
        <w:tc>
          <w:tcPr>
            <w:tcW w:type="dxa" w:w="31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Secured borrowing</w:t>
            </w:r>
          </w:p>
        </w:tc>
        <w:tc>
          <w:tcPr>
            <w:tcW w:type="dxa" w:w="62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Three DNB pledges registered 19 June 2026, NOK 4 000 000 each, over receivables, inventory and operating equipment</w:t>
            </w:r>
          </w:p>
        </w:tc>
      </w:tr>
      <w:tr>
        <w:trPr>
          <w:cantSplit/>
          <w:tblHeader w:val="false"/>
        </w:trPr>
        <w:tc>
          <w:tcPr>
            <w:tcW w:type="dxa" w:w="31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Public grant</w:t>
            </w:r>
          </w:p>
        </w:tc>
        <w:tc>
          <w:tcPr>
            <w:tcW w:type="dxa" w:w="62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Innovation Norway award of NOK 1 million announced 31 March 2025</w:t>
            </w:r>
          </w:p>
        </w:tc>
      </w:tr>
      <w:tr>
        <w:trPr>
          <w:cantSplit/>
          <w:tblHeader w:val="false"/>
        </w:trPr>
        <w:tc>
          <w:tcPr>
            <w:tcW w:type="dxa" w:w="31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Research partner</w:t>
            </w:r>
          </w:p>
        </w:tc>
        <w:tc>
          <w:tcPr>
            <w:tcW w:type="dxa" w:w="62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NTNU, including Professor Ulrik Wisløff — "Ultrasound of Healthy Athletes During Exercise: The SonoFit Study"</w:t>
            </w:r>
          </w:p>
        </w:tc>
      </w:tr>
      <w:tr>
        <w:trPr>
          <w:cantSplit/>
          <w:tblHeader w:val="false"/>
        </w:trPr>
        <w:tc>
          <w:tcPr>
            <w:tcW w:type="dxa" w:w="31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Product milestones</w:t>
            </w:r>
          </w:p>
        </w:tc>
        <w:tc>
          <w:tcPr>
            <w:tcW w:type="dxa" w:w="62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100 athlete datasets collected June 2025; in-house transducers producing high-quality Doppler spectra January 2026; revised prototypes with integrated batteries and reduced noise April 2026</w:t>
            </w:r>
          </w:p>
        </w:tc>
      </w:tr>
      <w:tr>
        <w:trPr>
          <w:cantSplit/>
          <w:tblHeader w:val="false"/>
        </w:trPr>
        <w:tc>
          <w:tcPr>
            <w:tcW w:type="dxa" w:w="31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Advisory board</w:t>
            </w:r>
          </w:p>
        </w:tc>
        <w:tc>
          <w:tcPr>
            <w:tcW w:type="dxa" w:w="62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Announced 20 May 2026, including Helge Aasen, chief executive of Elkem ASA</w:t>
            </w:r>
          </w:p>
        </w:tc>
      </w:tr>
      <w:tr>
        <w:trPr>
          <w:cantSplit/>
          <w:tblHeader w:val="false"/>
        </w:trPr>
        <w:tc>
          <w:tcPr>
            <w:tcW w:type="dxa" w:w="31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Press</w:t>
            </w:r>
          </w:p>
        </w:tc>
        <w:tc>
          <w:tcPr>
            <w:tcW w:type="dxa" w:w="62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Adresseavisen feature, syndicated to Aftenposten and Fedrelandsvennen, April 2026</w:t>
            </w:r>
          </w:p>
        </w:tc>
      </w:tr>
      <w:tr>
        <w:trPr>
          <w:cantSplit/>
          <w:tblHeader w:val="false"/>
        </w:trPr>
        <w:tc>
          <w:tcPr>
            <w:tcW w:type="dxa" w:w="31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Intellectual property</w:t>
            </w:r>
          </w:p>
        </w:tc>
        <w:tc>
          <w:tcPr>
            <w:tcW w:type="dxa" w:w="62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Patent pending (application not published in the sources reviewed)</w:t>
            </w:r>
          </w:p>
        </w:tc>
      </w:tr>
    </w:tbl>
    <w:p>
      <w:pPr>
        <w:spacing w:after="140"/>
      </w:pPr>
      <w:r>
        <w:rPr>
          <w:sz w:val="2"/>
          <w:szCs w:val="2"/>
        </w:rPr>
        <w:t xml:space="preserve"/>
      </w:r>
    </w:p>
    <w:p>
      <w:pPr>
        <w:spacing w:after="140" w:line="276"/>
      </w:pPr>
      <w:r>
        <w:rPr>
          <w:rFonts w:ascii="Calibri" w:cs="Calibri" w:eastAsia="Calibri" w:hAnsi="Calibri"/>
          <w:color w:val="222629"/>
          <w:sz w:val="21"/>
          <w:szCs w:val="21"/>
        </w:rPr>
        <w:t xml:space="preserve">Two of these deserve a flag before the analysis starts. The DNB pledges, taken in June 2026, are the behaviour of a company choosing debt over equity nine months after an equity round — which tells us something about either the availability or the perceived cost of equity. And the group structure means SonoFit's own accounts, which would settle most of what follows, exist but were not available for this work.</w:t>
      </w:r>
    </w:p>
    <w:p>
      <w:pPr>
        <w:pBdr>
          <w:bottom w:val="single" w:color="C9D6D9" w:sz="6" w:space="6"/>
        </w:pBdr>
        <w:spacing w:after="160" w:before="320"/>
      </w:pPr>
      <w:r>
        <w:rPr>
          <w:rFonts w:ascii="Calibri" w:cs="Calibri" w:eastAsia="Calibri" w:hAnsi="Calibri"/>
          <w:b/>
          <w:bCs/>
          <w:color w:val="0F4C5C"/>
          <w:sz w:val="27"/>
          <w:szCs w:val="27"/>
        </w:rPr>
        <w:t xml:space="preserve">3. What SonoFit is selling, and the market it is selling into</w:t>
      </w:r>
    </w:p>
    <w:p>
      <w:pPr>
        <w:spacing w:after="140" w:line="276"/>
      </w:pPr>
      <w:r>
        <w:rPr>
          <w:rFonts w:ascii="Calibri" w:cs="Calibri" w:eastAsia="Calibri" w:hAnsi="Calibri"/>
          <w:color w:val="222629"/>
          <w:sz w:val="21"/>
          <w:szCs w:val="21"/>
        </w:rPr>
        <w:t xml:space="preserve">The product is a wearable ultrasound sensor that measures anaerobic threshold continuously during exercise. The company's own framing is direct: real-time guidance on training intensity, "eliminating the need for blood sampling — no interruption, no needles, just facts." The measurement principle combines ultrasound with machine-learning interpretation, and the underlying transducers are now built in house.</w:t>
      </w:r>
    </w:p>
    <w:p>
      <w:pPr>
        <w:spacing w:after="140" w:line="276"/>
      </w:pPr>
      <w:r>
        <w:rPr>
          <w:rFonts w:ascii="Calibri" w:cs="Calibri" w:eastAsia="Calibri" w:hAnsi="Calibri"/>
          <w:color w:val="222629"/>
          <w:sz w:val="21"/>
          <w:szCs w:val="21"/>
        </w:rPr>
        <w:t xml:space="preserve">The technical proposition is strong. Existing consumer devices in this space infer physiological state indirectly — near-infrared spectroscopy estimates muscle oxygen saturation, optical sensors estimate heart rate, breath analysers estimate substrate use. Ultrasound measures blood flow directly. If the anaerobic threshold can be derived reliably from Doppler signal at the muscle, that is a genuinely different and better measurement, and the founder's background — general manager of engineering at GE, in the city where GE's cardiovascular ultrasound business grew out of Vingmed — makes it credible that this team could build it.</w:t>
      </w:r>
    </w:p>
    <w:p>
      <w:pPr>
        <w:spacing w:after="120" w:before="240"/>
      </w:pPr>
      <w:r>
        <w:rPr>
          <w:rFonts w:ascii="Calibri" w:cs="Calibri" w:eastAsia="Calibri" w:hAnsi="Calibri"/>
          <w:b/>
          <w:bCs/>
          <w:color w:val="1B7F8C"/>
          <w:sz w:val="22"/>
          <w:szCs w:val="22"/>
        </w:rPr>
        <w:t xml:space="preserve">The commercial history of this exact category is bad</w:t>
      </w:r>
    </w:p>
    <w:p>
      <w:pPr>
        <w:spacing w:after="140" w:line="276"/>
      </w:pPr>
      <w:r>
        <w:rPr>
          <w:rFonts w:ascii="Calibri" w:cs="Calibri" w:eastAsia="Calibri" w:hAnsi="Calibri"/>
          <w:color w:val="222629"/>
          <w:sz w:val="21"/>
          <w:szCs w:val="21"/>
        </w:rPr>
        <w:t xml:space="preserve">This is the single most important fact in the valuation, and it cuts hard against the technical story.</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2200"/>
        <w:gridCol w:w="1500"/>
        <w:gridCol w:w="1400"/>
        <w:gridCol w:w="4260"/>
      </w:tblGrid>
      <w:tr>
        <w:trPr>
          <w:cantSplit/>
          <w:tblHeader/>
        </w:trPr>
        <w:tc>
          <w:tcPr>
            <w:tcW w:type="dxa" w:w="22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Company</w:t>
            </w:r>
          </w:p>
        </w:tc>
        <w:tc>
          <w:tcPr>
            <w:tcW w:type="dxa" w:w="15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Approach</w:t>
            </w:r>
          </w:p>
        </w:tc>
        <w:tc>
          <w:tcPr>
            <w:tcW w:type="dxa" w:w="14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Raised</w:t>
            </w:r>
          </w:p>
        </w:tc>
        <w:tc>
          <w:tcPr>
            <w:tcW w:type="dxa" w:w="426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Outcome</w:t>
            </w:r>
          </w:p>
        </w:tc>
      </w:tr>
      <w:tr>
        <w:trPr>
          <w:cantSplit/>
          <w:tblHeader w:val="false"/>
        </w:trPr>
        <w:tc>
          <w:tcPr>
            <w:tcW w:type="dxa" w:w="2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BSX Athletics</w:t>
            </w:r>
          </w:p>
        </w:tc>
        <w:tc>
          <w:tcPr>
            <w:tcW w:type="dxa" w:w="15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Optical lactate threshold</w:t>
            </w:r>
          </w:p>
        </w:tc>
        <w:tc>
          <w:tcPr>
            <w:tcW w:type="dxa" w:w="1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USD 6.75 m</w:t>
            </w:r>
          </w:p>
        </w:tc>
        <w:tc>
          <w:tcPr>
            <w:tcW w:type="dxa" w:w="42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9B2C2C"/>
                <w:sz w:val="19"/>
                <w:szCs w:val="19"/>
              </w:rPr>
              <w:t xml:space="preserve">Shut down August 2017. Series A led by Samsung Catalyst Fund. Claimed non-invasive lactate threshold — the same promise SonoFit makes.</w:t>
            </w:r>
          </w:p>
        </w:tc>
      </w:tr>
      <w:tr>
        <w:trPr>
          <w:cantSplit/>
          <w:tblHeader w:val="false"/>
        </w:trPr>
        <w:tc>
          <w:tcPr>
            <w:tcW w:type="dxa" w:w="22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Supersapiens</w:t>
            </w:r>
          </w:p>
        </w:tc>
        <w:tc>
          <w:tcPr>
            <w:tcW w:type="dxa" w:w="15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Continuous glucose</w:t>
            </w:r>
          </w:p>
        </w:tc>
        <w:tc>
          <w:tcPr>
            <w:tcW w:type="dxa" w:w="1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USD 13.5 m</w:t>
            </w:r>
          </w:p>
        </w:tc>
        <w:tc>
          <w:tcPr>
            <w:tcW w:type="dxa" w:w="42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9B2C2C"/>
                <w:sz w:val="19"/>
                <w:szCs w:val="19"/>
              </w:rPr>
              <w:t xml:space="preserve">Wound down February 2024. Never cleared FDA; the EU-only market was too small to sustain the business.</w:t>
            </w:r>
          </w:p>
        </w:tc>
      </w:tr>
      <w:tr>
        <w:trPr>
          <w:cantSplit/>
          <w:tblHeader w:val="false"/>
        </w:trPr>
        <w:tc>
          <w:tcPr>
            <w:tcW w:type="dxa" w:w="2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Humon</w:t>
            </w:r>
          </w:p>
        </w:tc>
        <w:tc>
          <w:tcPr>
            <w:tcW w:type="dxa" w:w="15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Muscle oxygen (NIRS)</w:t>
            </w:r>
          </w:p>
        </w:tc>
        <w:tc>
          <w:tcPr>
            <w:tcW w:type="dxa" w:w="1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USD 3.67 m</w:t>
            </w:r>
          </w:p>
        </w:tc>
        <w:tc>
          <w:tcPr>
            <w:tcW w:type="dxa" w:w="42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Acquired September 2023, price and acquirer undisclosed. Total lifetime funding of roughly NOK 35 m suggests a modest outcome.</w:t>
            </w:r>
          </w:p>
        </w:tc>
      </w:tr>
      <w:tr>
        <w:trPr>
          <w:cantSplit/>
          <w:tblHeader w:val="false"/>
        </w:trPr>
        <w:tc>
          <w:tcPr>
            <w:tcW w:type="dxa" w:w="22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Moxy Monitor</w:t>
            </w:r>
          </w:p>
        </w:tc>
        <w:tc>
          <w:tcPr>
            <w:tcW w:type="dxa" w:w="15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Muscle oxygen (NIRS)</w:t>
            </w:r>
          </w:p>
        </w:tc>
        <w:tc>
          <w:tcPr>
            <w:tcW w:type="dxa" w:w="1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Undisclosed</w:t>
            </w:r>
          </w:p>
        </w:tc>
        <w:tc>
          <w:tcPr>
            <w:tcW w:type="dxa" w:w="42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Still trading. Bootstrapped niche product, no venture funding on record.</w:t>
            </w:r>
          </w:p>
        </w:tc>
      </w:tr>
      <w:tr>
        <w:trPr>
          <w:cantSplit/>
          <w:tblHeader w:val="false"/>
        </w:trPr>
        <w:tc>
          <w:tcPr>
            <w:tcW w:type="dxa" w:w="2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Train.Red</w:t>
            </w:r>
          </w:p>
        </w:tc>
        <w:tc>
          <w:tcPr>
            <w:tcW w:type="dxa" w:w="15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Muscle oxygen (NIRS)</w:t>
            </w:r>
          </w:p>
        </w:tc>
        <w:tc>
          <w:tcPr>
            <w:tcW w:type="dxa" w:w="1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Undisclosed</w:t>
            </w:r>
          </w:p>
        </w:tc>
        <w:tc>
          <w:tcPr>
            <w:tcW w:type="dxa" w:w="42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Still trading. Spun out of Artinis Medical Systems, largely grant-funded.</w:t>
            </w:r>
          </w:p>
        </w:tc>
      </w:tr>
      <w:tr>
        <w:trPr>
          <w:cantSplit/>
          <w:tblHeader w:val="false"/>
        </w:trPr>
        <w:tc>
          <w:tcPr>
            <w:tcW w:type="dxa" w:w="22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IDRO</w:t>
            </w:r>
          </w:p>
        </w:tc>
        <w:tc>
          <w:tcPr>
            <w:tcW w:type="dxa" w:w="15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Sweat lactate</w:t>
            </w:r>
          </w:p>
        </w:tc>
        <w:tc>
          <w:tcPr>
            <w:tcW w:type="dxa" w:w="1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Undisclosed</w:t>
            </w:r>
          </w:p>
        </w:tc>
        <w:tc>
          <w:tcPr>
            <w:tcW w:type="dxa" w:w="42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Still trading. KTH spinout, no disclosed venture backing.</w:t>
            </w:r>
          </w:p>
        </w:tc>
      </w:tr>
    </w:tbl>
    <w:p>
      <w:pPr>
        <w:spacing w:after="140"/>
      </w:pPr>
      <w:r>
        <w:rPr>
          <w:sz w:val="2"/>
          <w:szCs w:val="2"/>
        </w:rPr>
        <w:t xml:space="preserve"/>
      </w:r>
    </w:p>
    <w:p>
      <w:pPr>
        <w:spacing w:after="140" w:line="276"/>
      </w:pPr>
      <w:r>
        <w:rPr>
          <w:rFonts w:ascii="Calibri" w:cs="Calibri" w:eastAsia="Calibri" w:hAnsi="Calibri"/>
          <w:color w:val="222629"/>
          <w:sz w:val="21"/>
          <w:szCs w:val="21"/>
        </w:rPr>
        <w:t xml:space="preserve">Read that table carefully. The two companies that raised real venture money to solve this exact problem both failed. BSX had Samsung's venture arm behind it and a product on the market, and still could not build a business out of non-invasive threshold measurement. The survivors are the ones that never took venture money and run as small, profitable, niche operations. That is the signature of a category where the technology can be made to work but the willingness to pay does not support a venture-scale outcome.</w:t>
      </w:r>
    </w:p>
    <w:p>
      <w:pPr>
        <w:spacing w:after="120" w:before="240"/>
      </w:pPr>
      <w:r>
        <w:rPr>
          <w:rFonts w:ascii="Calibri" w:cs="Calibri" w:eastAsia="Calibri" w:hAnsi="Calibri"/>
          <w:b/>
          <w:bCs/>
          <w:color w:val="1B7F8C"/>
          <w:sz w:val="22"/>
          <w:szCs w:val="22"/>
        </w:rPr>
        <w:t xml:space="preserve">Market size</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4200"/>
        <w:gridCol w:w="2580"/>
        <w:gridCol w:w="2580"/>
      </w:tblGrid>
      <w:tr>
        <w:trPr>
          <w:cantSplit/>
          <w:tblHeader/>
        </w:trPr>
        <w:tc>
          <w:tcPr>
            <w:tcW w:type="dxa" w:w="42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Market</w:t>
            </w:r>
          </w:p>
        </w:tc>
        <w:tc>
          <w:tcPr>
            <w:tcW w:type="dxa" w:w="258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Size (2025)</w:t>
            </w:r>
          </w:p>
        </w:tc>
        <w:tc>
          <w:tcPr>
            <w:tcW w:type="dxa" w:w="258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In NOK</w:t>
            </w:r>
          </w:p>
        </w:tc>
      </w:tr>
      <w:tr>
        <w:trPr>
          <w:cantSplit/>
          <w:tblHeader w:val="false"/>
        </w:trPr>
        <w:tc>
          <w:tcPr>
            <w:tcW w:type="dxa" w:w="42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Lactate monitoring devices, all uses</w:t>
            </w:r>
          </w:p>
        </w:tc>
        <w:tc>
          <w:tcPr>
            <w:tcW w:type="dxa" w:w="258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USD 163 m</w:t>
            </w:r>
          </w:p>
        </w:tc>
        <w:tc>
          <w:tcPr>
            <w:tcW w:type="dxa" w:w="258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approx. NOK 1.5 bn</w:t>
            </w:r>
          </w:p>
        </w:tc>
      </w:tr>
      <w:tr>
        <w:trPr>
          <w:cantSplit/>
          <w:tblHeader w:val="false"/>
        </w:trPr>
        <w:tc>
          <w:tcPr>
            <w:tcW w:type="dxa" w:w="42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 of which sports segment (59 %)</w:t>
            </w:r>
          </w:p>
        </w:tc>
        <w:tc>
          <w:tcPr>
            <w:tcW w:type="dxa" w:w="258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USD 96 m</w:t>
            </w:r>
          </w:p>
        </w:tc>
        <w:tc>
          <w:tcPr>
            <w:tcW w:type="dxa" w:w="258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approx. NOK 0.9 bn</w:t>
            </w:r>
          </w:p>
        </w:tc>
      </w:tr>
      <w:tr>
        <w:trPr>
          <w:cantSplit/>
          <w:tblHeader w:val="false"/>
        </w:trPr>
        <w:tc>
          <w:tcPr>
            <w:tcW w:type="dxa" w:w="42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Cardiopulmonary exercise testing systems</w:t>
            </w:r>
          </w:p>
        </w:tc>
        <w:tc>
          <w:tcPr>
            <w:tcW w:type="dxa" w:w="258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USD 6.1 bn</w:t>
            </w:r>
          </w:p>
        </w:tc>
        <w:tc>
          <w:tcPr>
            <w:tcW w:type="dxa" w:w="258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approx. NOK 58 bn</w:t>
            </w:r>
          </w:p>
        </w:tc>
      </w:tr>
      <w:tr>
        <w:trPr>
          <w:cantSplit/>
          <w:tblHeader w:val="false"/>
        </w:trPr>
        <w:tc>
          <w:tcPr>
            <w:tcW w:type="dxa" w:w="42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Wearable ultrasound patches, all uses</w:t>
            </w:r>
          </w:p>
        </w:tc>
        <w:tc>
          <w:tcPr>
            <w:tcW w:type="dxa" w:w="258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USD 2.8 bn</w:t>
            </w:r>
          </w:p>
        </w:tc>
        <w:tc>
          <w:tcPr>
            <w:tcW w:type="dxa" w:w="258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approx. NOK 27 bn</w:t>
            </w:r>
          </w:p>
        </w:tc>
      </w:tr>
    </w:tbl>
    <w:p>
      <w:pPr>
        <w:spacing w:after="140"/>
      </w:pPr>
      <w:r>
        <w:rPr>
          <w:sz w:val="2"/>
          <w:szCs w:val="2"/>
        </w:rPr>
        <w:t xml:space="preserve"/>
      </w:r>
    </w:p>
    <w:p>
      <w:pPr>
        <w:spacing w:after="140" w:line="276"/>
      </w:pPr>
      <w:r>
        <w:rPr>
          <w:rFonts w:ascii="Calibri" w:cs="Calibri" w:eastAsia="Calibri" w:hAnsi="Calibri"/>
          <w:color w:val="222629"/>
          <w:sz w:val="21"/>
          <w:szCs w:val="21"/>
        </w:rPr>
        <w:t xml:space="preserve">The market SonoFit names for itself is the small one. Sports lactate monitoring at roughly USD 96 million globally cannot support a large company — capturing a tenth of it would mean revenue of around NOK 90 million, a respectable business but not a venture outcome. The larger numbers only become relevant on two conditions: that the device displaces laboratory exercise testing rather than merely supplementing it, or that the underlying wearable ultrasound platform is pointed at clinical monitoring, where the patch market is growing at fifteen per cent a year. Both are real possibilities. Neither is what the company currently says it is doing.</w:t>
      </w:r>
    </w:p>
    <w:p>
      <w:pPr>
        <w:pBdr>
          <w:bottom w:val="single" w:color="C9D6D9" w:sz="6" w:space="6"/>
        </w:pBdr>
        <w:spacing w:after="160" w:before="320"/>
      </w:pPr>
      <w:r>
        <w:rPr>
          <w:rFonts w:ascii="Calibri" w:cs="Calibri" w:eastAsia="Calibri" w:hAnsi="Calibri"/>
          <w:b/>
          <w:bCs/>
          <w:color w:val="0F4C5C"/>
          <w:sz w:val="27"/>
          <w:szCs w:val="27"/>
        </w:rPr>
        <w:t xml:space="preserve">4. Method one — replacement cost</w:t>
      </w:r>
    </w:p>
    <w:p>
      <w:pPr>
        <w:spacing w:after="140" w:line="276"/>
      </w:pPr>
      <w:r>
        <w:rPr>
          <w:rFonts w:ascii="Calibri" w:cs="Calibri" w:eastAsia="Calibri" w:hAnsi="Calibri"/>
          <w:color w:val="222629"/>
          <w:sz w:val="21"/>
          <w:szCs w:val="21"/>
        </w:rPr>
        <w:t xml:space="preserve">The first question a rational acquirer asks is what it would cost to build this from nothing. That sets a floor, because below it an acquirer would simply hire the people and start.</w:t>
      </w:r>
    </w:p>
    <w:p>
      <w:pPr>
        <w:spacing w:after="140" w:line="276"/>
      </w:pPr>
      <w:r>
        <w:rPr>
          <w:rFonts w:ascii="Calibri" w:cs="Calibri" w:eastAsia="Calibri" w:hAnsi="Calibri"/>
          <w:color w:val="222629"/>
          <w:sz w:val="21"/>
          <w:szCs w:val="21"/>
        </w:rPr>
        <w:t xml:space="preserve">SonoFit has been operating for twenty-two months and now employs nine people. Reconstructing the effort: roughly two full-time equivalents in the last quarter of 2024, an average of three and a half through 2025, and an average of seven across the first eight months of 2026 — about 8.7 full-time-equivalent years in total. Note that headcount and full-time equivalents differ here, because a company embedded in NTNU almost certainly carries part-time students on its books.</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3400"/>
        <w:gridCol w:w="1990"/>
        <w:gridCol w:w="1990"/>
        <w:gridCol w:w="1980"/>
      </w:tblGrid>
      <w:tr>
        <w:trPr>
          <w:cantSplit/>
          <w:tblHeader/>
        </w:trPr>
        <w:tc>
          <w:tcPr>
            <w:tcW w:type="dxa" w:w="34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Replacement cost build (NOK m)</w:t>
            </w:r>
          </w:p>
        </w:tc>
        <w:tc>
          <w:tcPr>
            <w:tcW w:type="dxa" w:w="199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Low</w:t>
            </w:r>
          </w:p>
        </w:tc>
        <w:tc>
          <w:tcPr>
            <w:tcW w:type="dxa" w:w="199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Central</w:t>
            </w:r>
          </w:p>
        </w:tc>
        <w:tc>
          <w:tcPr>
            <w:tcW w:type="dxa" w:w="198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High</w:t>
            </w:r>
          </w:p>
        </w:tc>
      </w:tr>
      <w:tr>
        <w:trPr>
          <w:cantSplit/>
          <w:tblHeader w:val="false"/>
        </w:trPr>
        <w:tc>
          <w:tcPr>
            <w:tcW w:type="dxa" w:w="34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Engineering effort (FTE-years)</w:t>
            </w:r>
          </w:p>
        </w:tc>
        <w:tc>
          <w:tcPr>
            <w:tcW w:type="dxa" w:w="199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7.5</w:t>
            </w:r>
          </w:p>
        </w:tc>
        <w:tc>
          <w:tcPr>
            <w:tcW w:type="dxa" w:w="199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8.7</w:t>
            </w:r>
          </w:p>
        </w:tc>
        <w:tc>
          <w:tcPr>
            <w:tcW w:type="dxa" w:w="198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10.0</w:t>
            </w:r>
          </w:p>
        </w:tc>
      </w:tr>
      <w:tr>
        <w:trPr>
          <w:cantSplit/>
          <w:tblHeader w:val="false"/>
        </w:trPr>
        <w:tc>
          <w:tcPr>
            <w:tcW w:type="dxa" w:w="34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Fully loaded cost per FTE-year</w:t>
            </w:r>
          </w:p>
        </w:tc>
        <w:tc>
          <w:tcPr>
            <w:tcW w:type="dxa" w:w="199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0.85</w:t>
            </w:r>
          </w:p>
        </w:tc>
        <w:tc>
          <w:tcPr>
            <w:tcW w:type="dxa" w:w="199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1.00</w:t>
            </w:r>
          </w:p>
        </w:tc>
        <w:tc>
          <w:tcPr>
            <w:tcW w:type="dxa" w:w="198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1.15</w:t>
            </w:r>
          </w:p>
        </w:tc>
      </w:tr>
      <w:tr>
        <w:trPr>
          <w:cantSplit/>
          <w:tblHeader w:val="false"/>
        </w:trPr>
        <w:tc>
          <w:tcPr>
            <w:tcW w:type="dxa" w:w="3400"/>
            <w:shd w:fill="FFFFFF"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People cost</w:t>
            </w:r>
          </w:p>
        </w:tc>
        <w:tc>
          <w:tcPr>
            <w:tcW w:type="dxa" w:w="1990"/>
            <w:shd w:fill="FFFFFF"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6.4</w:t>
            </w:r>
          </w:p>
        </w:tc>
        <w:tc>
          <w:tcPr>
            <w:tcW w:type="dxa" w:w="1990"/>
            <w:shd w:fill="FFFFFF"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8.7</w:t>
            </w:r>
          </w:p>
        </w:tc>
        <w:tc>
          <w:tcPr>
            <w:tcW w:type="dxa" w:w="1980"/>
            <w:shd w:fill="FFFFFF"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11.5</w:t>
            </w:r>
          </w:p>
        </w:tc>
      </w:tr>
      <w:tr>
        <w:trPr>
          <w:cantSplit/>
          <w:tblHeader w:val="false"/>
        </w:trPr>
        <w:tc>
          <w:tcPr>
            <w:tcW w:type="dxa" w:w="34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Transducer development and prototyping</w:t>
            </w:r>
          </w:p>
        </w:tc>
        <w:tc>
          <w:tcPr>
            <w:tcW w:type="dxa" w:w="199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1.0</w:t>
            </w:r>
          </w:p>
        </w:tc>
        <w:tc>
          <w:tcPr>
            <w:tcW w:type="dxa" w:w="199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1.8</w:t>
            </w:r>
          </w:p>
        </w:tc>
        <w:tc>
          <w:tcPr>
            <w:tcW w:type="dxa" w:w="198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3.0</w:t>
            </w:r>
          </w:p>
        </w:tc>
      </w:tr>
      <w:tr>
        <w:trPr>
          <w:cantSplit/>
          <w:tblHeader w:val="false"/>
        </w:trPr>
        <w:tc>
          <w:tcPr>
            <w:tcW w:type="dxa" w:w="34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External engineering (Tangen)</w:t>
            </w:r>
          </w:p>
        </w:tc>
        <w:tc>
          <w:tcPr>
            <w:tcW w:type="dxa" w:w="199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0.4</w:t>
            </w:r>
          </w:p>
        </w:tc>
        <w:tc>
          <w:tcPr>
            <w:tcW w:type="dxa" w:w="199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0.9</w:t>
            </w:r>
          </w:p>
        </w:tc>
        <w:tc>
          <w:tcPr>
            <w:tcW w:type="dxa" w:w="198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1.5</w:t>
            </w:r>
          </w:p>
        </w:tc>
      </w:tr>
      <w:tr>
        <w:trPr>
          <w:cantSplit/>
          <w:tblHeader w:val="false"/>
        </w:trPr>
        <w:tc>
          <w:tcPr>
            <w:tcW w:type="dxa" w:w="34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NTNU study and athlete data collection</w:t>
            </w:r>
          </w:p>
        </w:tc>
        <w:tc>
          <w:tcPr>
            <w:tcW w:type="dxa" w:w="199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0.2</w:t>
            </w:r>
          </w:p>
        </w:tc>
        <w:tc>
          <w:tcPr>
            <w:tcW w:type="dxa" w:w="199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0.5</w:t>
            </w:r>
          </w:p>
        </w:tc>
        <w:tc>
          <w:tcPr>
            <w:tcW w:type="dxa" w:w="198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0.9</w:t>
            </w:r>
          </w:p>
        </w:tc>
      </w:tr>
      <w:tr>
        <w:trPr>
          <w:cantSplit/>
          <w:tblHeader w:val="false"/>
        </w:trPr>
        <w:tc>
          <w:tcPr>
            <w:tcW w:type="dxa" w:w="34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Patent filing and prosecution</w:t>
            </w:r>
          </w:p>
        </w:tc>
        <w:tc>
          <w:tcPr>
            <w:tcW w:type="dxa" w:w="199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0.2</w:t>
            </w:r>
          </w:p>
        </w:tc>
        <w:tc>
          <w:tcPr>
            <w:tcW w:type="dxa" w:w="199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0.4</w:t>
            </w:r>
          </w:p>
        </w:tc>
        <w:tc>
          <w:tcPr>
            <w:tcW w:type="dxa" w:w="198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0.7</w:t>
            </w:r>
          </w:p>
        </w:tc>
      </w:tr>
      <w:tr>
        <w:trPr>
          <w:cantSplit/>
          <w:tblHeader w:val="false"/>
        </w:trPr>
        <w:tc>
          <w:tcPr>
            <w:tcW w:type="dxa" w:w="34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Electronics, tooling, test equipment</w:t>
            </w:r>
          </w:p>
        </w:tc>
        <w:tc>
          <w:tcPr>
            <w:tcW w:type="dxa" w:w="199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0.4</w:t>
            </w:r>
          </w:p>
        </w:tc>
        <w:tc>
          <w:tcPr>
            <w:tcW w:type="dxa" w:w="199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0.9</w:t>
            </w:r>
          </w:p>
        </w:tc>
        <w:tc>
          <w:tcPr>
            <w:tcW w:type="dxa" w:w="198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1.6</w:t>
            </w:r>
          </w:p>
        </w:tc>
      </w:tr>
      <w:tr>
        <w:trPr>
          <w:cantSplit/>
          <w:tblHeader w:val="false"/>
        </w:trPr>
        <w:tc>
          <w:tcPr>
            <w:tcW w:type="dxa" w:w="34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Premises, administration, travel</w:t>
            </w:r>
          </w:p>
        </w:tc>
        <w:tc>
          <w:tcPr>
            <w:tcW w:type="dxa" w:w="199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0.4</w:t>
            </w:r>
          </w:p>
        </w:tc>
        <w:tc>
          <w:tcPr>
            <w:tcW w:type="dxa" w:w="199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0.8</w:t>
            </w:r>
          </w:p>
        </w:tc>
        <w:tc>
          <w:tcPr>
            <w:tcW w:type="dxa" w:w="198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1.3</w:t>
            </w:r>
          </w:p>
        </w:tc>
      </w:tr>
      <w:tr>
        <w:trPr>
          <w:cantSplit/>
          <w:tblHeader w:val="false"/>
        </w:trPr>
        <w:tc>
          <w:tcPr>
            <w:tcW w:type="dxa" w:w="340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Non-people cost</w:t>
            </w:r>
          </w:p>
        </w:tc>
        <w:tc>
          <w:tcPr>
            <w:tcW w:type="dxa" w:w="199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2.6</w:t>
            </w:r>
          </w:p>
        </w:tc>
        <w:tc>
          <w:tcPr>
            <w:tcW w:type="dxa" w:w="199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5.3</w:t>
            </w:r>
          </w:p>
        </w:tc>
        <w:tc>
          <w:tcPr>
            <w:tcW w:type="dxa" w:w="198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9.0</w:t>
            </w:r>
          </w:p>
        </w:tc>
      </w:tr>
      <w:tr>
        <w:trPr>
          <w:cantSplit/>
          <w:tblHeader w:val="false"/>
        </w:trPr>
        <w:tc>
          <w:tcPr>
            <w:tcW w:type="dxa" w:w="3400"/>
            <w:shd w:fill="FFFFFF"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Total to recreate at market rates</w:t>
            </w:r>
          </w:p>
        </w:tc>
        <w:tc>
          <w:tcPr>
            <w:tcW w:type="dxa" w:w="1990"/>
            <w:shd w:fill="FFFFFF"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9.0</w:t>
            </w:r>
          </w:p>
        </w:tc>
        <w:tc>
          <w:tcPr>
            <w:tcW w:type="dxa" w:w="1990"/>
            <w:shd w:fill="FFFFFF"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14.0</w:t>
            </w:r>
          </w:p>
        </w:tc>
        <w:tc>
          <w:tcPr>
            <w:tcW w:type="dxa" w:w="1980"/>
            <w:shd w:fill="FFFFFF"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20.5</w:t>
            </w:r>
          </w:p>
        </w:tc>
      </w:tr>
      <w:tr>
        <w:trPr>
          <w:cantSplit/>
          <w:tblHeader w:val="false"/>
        </w:trPr>
        <w:tc>
          <w:tcPr>
            <w:tcW w:type="dxa" w:w="34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Less efficiency of a knowing rebuild (x0.85)</w:t>
            </w:r>
          </w:p>
        </w:tc>
        <w:tc>
          <w:tcPr>
            <w:tcW w:type="dxa" w:w="199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7.6</w:t>
            </w:r>
          </w:p>
        </w:tc>
        <w:tc>
          <w:tcPr>
            <w:tcW w:type="dxa" w:w="199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11.9</w:t>
            </w:r>
          </w:p>
        </w:tc>
        <w:tc>
          <w:tcPr>
            <w:tcW w:type="dxa" w:w="198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17.4</w:t>
            </w:r>
          </w:p>
        </w:tc>
      </w:tr>
    </w:tbl>
    <w:p>
      <w:pPr>
        <w:spacing w:after="140"/>
      </w:pPr>
      <w:r>
        <w:rPr>
          <w:sz w:val="2"/>
          <w:szCs w:val="2"/>
        </w:rPr>
        <w:t xml:space="preserve"/>
      </w:r>
    </w:p>
    <w:tbl>
      <w:tblPr>
        <w:tblW w:type="dxa" w:w="9360"/>
        <w:tblBorders>
          <w:top w:val="none" w:color="FFFFFF" w:sz="0"/>
          <w:left w:val="single" w:color="1B7F8C" w:sz="18"/>
          <w:bottom w:val="none" w:color="FFFFFF" w:sz="0"/>
          <w:right w:val="none" w:color="FFFFFF" w:sz="0"/>
          <w:insideH w:val="none" w:color="FFFFFF" w:sz="0"/>
          <w:insideV w:val="none" w:color="FFFFFF" w:sz="0"/>
        </w:tblBorders>
      </w:tblPr>
      <w:tblGrid>
        <w:gridCol w:w="9360"/>
      </w:tblGrid>
      <w:tr>
        <w:tc>
          <w:tcPr>
            <w:tcW w:type="dxa" w:w="9360"/>
            <w:shd w:fill="EDF3F4" w:color="auto" w:val="clear"/>
            <w:tcMar>
              <w:top w:type="dxa" w:w="150"/>
              <w:left w:type="dxa" w:w="200"/>
              <w:bottom w:type="dxa" w:w="150"/>
              <w:right w:type="dxa" w:w="200"/>
            </w:tcMar>
          </w:tcPr>
          <w:p>
            <w:pPr>
              <w:spacing w:after="80"/>
            </w:pPr>
            <w:r>
              <w:rPr>
                <w:rFonts w:ascii="Calibri" w:cs="Calibri" w:eastAsia="Calibri" w:hAnsi="Calibri"/>
                <w:b/>
                <w:bCs/>
                <w:color w:val="0F4C5C"/>
                <w:sz w:val="21"/>
                <w:szCs w:val="21"/>
              </w:rPr>
              <w:t xml:space="preserve">Replacement cost indication</w:t>
            </w:r>
          </w:p>
          <w:p>
            <w:pPr>
              <w:spacing w:after="0" w:line="276"/>
            </w:pPr>
            <w:r>
              <w:rPr>
                <w:rFonts w:ascii="Calibri" w:cs="Calibri" w:eastAsia="Calibri" w:hAnsi="Calibri"/>
                <w:color w:val="222629"/>
                <w:sz w:val="20"/>
                <w:szCs w:val="20"/>
              </w:rPr>
              <w:t xml:space="preserve">NOK 12 million central, range NOK 8–18 million. This is a floor and should be read as one. It values the effort but not the twenty-two months of elapsed time, the patent priority date, or the possibility that the thing works.</w:t>
            </w:r>
          </w:p>
        </w:tc>
      </w:tr>
    </w:tbl>
    <w:p>
      <w:pPr>
        <w:spacing w:after="140" w:line="276"/>
      </w:pPr>
      <w:r>
        <w:rPr>
          <w:rFonts w:ascii="Calibri" w:cs="Calibri" w:eastAsia="Calibri" w:hAnsi="Calibri"/>
          <w:color w:val="222629"/>
          <w:sz w:val="21"/>
          <w:szCs w:val="21"/>
        </w:rPr>
        <w:t xml:space="preserve">One corollary matters for section 12. Replacement cost at market salary rates is not the same as cash actually spent. Founders and student engineers in an early-stage Norwegian company are routinely paid well below the NOK 1 million fully loaded figure used above, and some take deferred or nominal salary. Actual cash burn could plausibly be half the central figure here.</w:t>
      </w:r>
    </w:p>
    <w:p>
      <w:pPr>
        <w:pBdr>
          <w:bottom w:val="single" w:color="C9D6D9" w:sz="6" w:space="6"/>
        </w:pBdr>
        <w:spacing w:after="160" w:before="320"/>
      </w:pPr>
      <w:r>
        <w:rPr>
          <w:rFonts w:ascii="Calibri" w:cs="Calibri" w:eastAsia="Calibri" w:hAnsi="Calibri"/>
          <w:b/>
          <w:bCs/>
          <w:color w:val="0F4C5C"/>
          <w:sz w:val="27"/>
          <w:szCs w:val="27"/>
        </w:rPr>
        <w:t xml:space="preserve">5. Method two — acqui-hire and asset floor</w:t>
      </w:r>
    </w:p>
    <w:p>
      <w:pPr>
        <w:spacing w:after="140" w:line="276"/>
      </w:pPr>
      <w:r>
        <w:rPr>
          <w:rFonts w:ascii="Calibri" w:cs="Calibri" w:eastAsia="Calibri" w:hAnsi="Calibri"/>
          <w:color w:val="222629"/>
          <w:sz w:val="21"/>
          <w:szCs w:val="21"/>
        </w:rPr>
        <w:t xml:space="preserve">A second floor comes from asking what a strategic buyer would pay purely for the people and the assets, assuming the product never ships. Ultrasound transducer design combined with signal processing is a genuinely scarce skill set, and Trondheim is one of a handful of places in the world where it is concentrated.</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4200"/>
        <w:gridCol w:w="1720"/>
        <w:gridCol w:w="1720"/>
        <w:gridCol w:w="1720"/>
      </w:tblGrid>
      <w:tr>
        <w:trPr>
          <w:cantSplit/>
          <w:tblHeader/>
        </w:trPr>
        <w:tc>
          <w:tcPr>
            <w:tcW w:type="dxa" w:w="42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Component (NOK m)</w:t>
            </w:r>
          </w:p>
        </w:tc>
        <w:tc>
          <w:tcPr>
            <w:tcW w:type="dxa" w:w="172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Low</w:t>
            </w:r>
          </w:p>
        </w:tc>
        <w:tc>
          <w:tcPr>
            <w:tcW w:type="dxa" w:w="172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Central</w:t>
            </w:r>
          </w:p>
        </w:tc>
        <w:tc>
          <w:tcPr>
            <w:tcW w:type="dxa" w:w="172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High</w:t>
            </w:r>
          </w:p>
        </w:tc>
      </w:tr>
      <w:tr>
        <w:trPr>
          <w:cantSplit/>
          <w:tblHeader w:val="false"/>
        </w:trPr>
        <w:tc>
          <w:tcPr>
            <w:tcW w:type="dxa" w:w="42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5 core technical staff at NOK 2.0–4.0 m each</w:t>
            </w:r>
          </w:p>
        </w:tc>
        <w:tc>
          <w:tcPr>
            <w:tcW w:type="dxa" w:w="17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10.0</w:t>
            </w:r>
          </w:p>
        </w:tc>
        <w:tc>
          <w:tcPr>
            <w:tcW w:type="dxa" w:w="17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15.0</w:t>
            </w:r>
          </w:p>
        </w:tc>
        <w:tc>
          <w:tcPr>
            <w:tcW w:type="dxa" w:w="17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20.0</w:t>
            </w:r>
          </w:p>
        </w:tc>
      </w:tr>
      <w:tr>
        <w:trPr>
          <w:cantSplit/>
          <w:tblHeader w:val="false"/>
        </w:trPr>
        <w:tc>
          <w:tcPr>
            <w:tcW w:type="dxa" w:w="42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Patent family</w:t>
            </w:r>
          </w:p>
        </w:tc>
        <w:tc>
          <w:tcPr>
            <w:tcW w:type="dxa" w:w="17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1.0</w:t>
            </w:r>
          </w:p>
        </w:tc>
        <w:tc>
          <w:tcPr>
            <w:tcW w:type="dxa" w:w="17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2.0</w:t>
            </w:r>
          </w:p>
        </w:tc>
        <w:tc>
          <w:tcPr>
            <w:tcW w:type="dxa" w:w="17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4.0</w:t>
            </w:r>
          </w:p>
        </w:tc>
      </w:tr>
      <w:tr>
        <w:trPr>
          <w:cantSplit/>
          <w:tblHeader w:val="false"/>
        </w:trPr>
        <w:tc>
          <w:tcPr>
            <w:tcW w:type="dxa" w:w="42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Athlete dataset (100 subjects, exercise ultrasound)</w:t>
            </w:r>
          </w:p>
        </w:tc>
        <w:tc>
          <w:tcPr>
            <w:tcW w:type="dxa" w:w="17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1.0</w:t>
            </w:r>
          </w:p>
        </w:tc>
        <w:tc>
          <w:tcPr>
            <w:tcW w:type="dxa" w:w="17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2.0</w:t>
            </w:r>
          </w:p>
        </w:tc>
        <w:tc>
          <w:tcPr>
            <w:tcW w:type="dxa" w:w="17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3.0</w:t>
            </w:r>
          </w:p>
        </w:tc>
      </w:tr>
      <w:tr>
        <w:trPr>
          <w:cantSplit/>
          <w:tblHeader w:val="false"/>
        </w:trPr>
        <w:tc>
          <w:tcPr>
            <w:tcW w:type="dxa" w:w="420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Gross</w:t>
            </w:r>
          </w:p>
        </w:tc>
        <w:tc>
          <w:tcPr>
            <w:tcW w:type="dxa" w:w="172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12.0</w:t>
            </w:r>
          </w:p>
        </w:tc>
        <w:tc>
          <w:tcPr>
            <w:tcW w:type="dxa" w:w="172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19.0</w:t>
            </w:r>
          </w:p>
        </w:tc>
        <w:tc>
          <w:tcPr>
            <w:tcW w:type="dxa" w:w="172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27.0</w:t>
            </w:r>
          </w:p>
        </w:tc>
      </w:tr>
      <w:tr>
        <w:trPr>
          <w:cantSplit/>
          <w:tblHeader w:val="false"/>
        </w:trPr>
        <w:tc>
          <w:tcPr>
            <w:tcW w:type="dxa" w:w="42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Retention and integration discount</w:t>
            </w:r>
          </w:p>
        </w:tc>
        <w:tc>
          <w:tcPr>
            <w:tcW w:type="dxa" w:w="17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–20 %</w:t>
            </w:r>
          </w:p>
        </w:tc>
        <w:tc>
          <w:tcPr>
            <w:tcW w:type="dxa" w:w="17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–20 %</w:t>
            </w:r>
          </w:p>
        </w:tc>
        <w:tc>
          <w:tcPr>
            <w:tcW w:type="dxa" w:w="17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–10 %</w:t>
            </w:r>
          </w:p>
        </w:tc>
      </w:tr>
      <w:tr>
        <w:trPr>
          <w:cantSplit/>
          <w:tblHeader w:val="false"/>
        </w:trPr>
        <w:tc>
          <w:tcPr>
            <w:tcW w:type="dxa" w:w="420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Acqui-hire indication</w:t>
            </w:r>
          </w:p>
        </w:tc>
        <w:tc>
          <w:tcPr>
            <w:tcW w:type="dxa" w:w="172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9.6</w:t>
            </w:r>
          </w:p>
        </w:tc>
        <w:tc>
          <w:tcPr>
            <w:tcW w:type="dxa" w:w="172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15.2</w:t>
            </w:r>
          </w:p>
        </w:tc>
        <w:tc>
          <w:tcPr>
            <w:tcW w:type="dxa" w:w="172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24.3</w:t>
            </w:r>
          </w:p>
        </w:tc>
      </w:tr>
    </w:tbl>
    <w:p>
      <w:pPr>
        <w:spacing w:after="140"/>
      </w:pPr>
      <w:r>
        <w:rPr>
          <w:sz w:val="2"/>
          <w:szCs w:val="2"/>
        </w:rPr>
        <w:t xml:space="preserve"/>
      </w:r>
    </w:p>
    <w:p>
      <w:pPr>
        <w:spacing w:after="140" w:line="276"/>
      </w:pPr>
      <w:r>
        <w:rPr>
          <w:rFonts w:ascii="Calibri" w:cs="Calibri" w:eastAsia="Calibri" w:hAnsi="Calibri"/>
          <w:color w:val="222629"/>
          <w:sz w:val="21"/>
          <w:szCs w:val="21"/>
        </w:rPr>
        <w:t xml:space="preserve">Call it NOK 15 million central, range NOK 10–24 million. The two floors are consistent with each other, which is reassuring — they are built from different inputs and land in the same place.</w:t>
      </w:r>
    </w:p>
    <w:p>
      <w:pPr>
        <w:pBdr>
          <w:bottom w:val="single" w:color="C9D6D9" w:sz="6" w:space="6"/>
        </w:pBdr>
        <w:spacing w:after="160" w:before="320"/>
      </w:pPr>
      <w:r>
        <w:rPr>
          <w:rFonts w:ascii="Calibri" w:cs="Calibri" w:eastAsia="Calibri" w:hAnsi="Calibri"/>
          <w:b/>
          <w:bCs/>
          <w:color w:val="0F4C5C"/>
          <w:sz w:val="27"/>
          <w:szCs w:val="27"/>
        </w:rPr>
        <w:t xml:space="preserve">6. Method three — Berkus</w:t>
      </w:r>
    </w:p>
    <w:p>
      <w:pPr>
        <w:spacing w:after="140" w:line="276"/>
      </w:pPr>
      <w:r>
        <w:rPr>
          <w:rFonts w:ascii="Calibri" w:cs="Calibri" w:eastAsia="Calibri" w:hAnsi="Calibri"/>
          <w:color w:val="222629"/>
          <w:sz w:val="21"/>
          <w:szCs w:val="21"/>
        </w:rPr>
        <w:t xml:space="preserve">The Berkus method assigns value to five sources of risk reduction in a pre-revenue company, capped so that no pre-revenue business exceeds the ceiling. Scaled to Norwegian conditions, each element is capped at NOK 5 million.</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3300"/>
        <w:gridCol w:w="1600"/>
        <w:gridCol w:w="4460"/>
      </w:tblGrid>
      <w:tr>
        <w:trPr>
          <w:cantSplit/>
          <w:tblHeader/>
        </w:trPr>
        <w:tc>
          <w:tcPr>
            <w:tcW w:type="dxa" w:w="33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w:t>
            </w:r>
          </w:p>
        </w:tc>
        <w:tc>
          <w:tcPr>
            <w:tcW w:type="dxa" w:w="16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Value (NOK m)</w:t>
            </w:r>
          </w:p>
        </w:tc>
        <w:tc>
          <w:tcPr>
            <w:tcW w:type="dxa" w:w="446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Reasoning</w:t>
            </w:r>
          </w:p>
        </w:tc>
      </w:tr>
      <w:tr>
        <w:trPr>
          <w:cantSplit/>
          <w:tblHeader w:val="false"/>
        </w:trPr>
        <w:tc>
          <w:tcPr>
            <w:tcW w:type="dxa" w:w="33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Sound idea (basic value)</w:t>
            </w:r>
          </w:p>
        </w:tc>
        <w:tc>
          <w:tcPr>
            <w:tcW w:type="dxa" w:w="16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4.0</w:t>
            </w:r>
          </w:p>
        </w:tc>
        <w:tc>
          <w:tcPr>
            <w:tcW w:type="dxa" w:w="44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A real unmet need with sound physics behind it. Not full marks, because the need has been attacked before and the market did not respond.</w:t>
            </w:r>
          </w:p>
        </w:tc>
      </w:tr>
      <w:tr>
        <w:trPr>
          <w:cantSplit/>
          <w:tblHeader w:val="false"/>
        </w:trPr>
        <w:tc>
          <w:tcPr>
            <w:tcW w:type="dxa" w:w="33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Prototype (technology risk)</w:t>
            </w:r>
          </w:p>
        </w:tc>
        <w:tc>
          <w:tcPr>
            <w:tcW w:type="dxa" w:w="16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4.0</w:t>
            </w:r>
          </w:p>
        </w:tc>
        <w:tc>
          <w:tcPr>
            <w:tcW w:type="dxa" w:w="44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In-house transducers producing high-quality Doppler spectra, prototypes with integrated batteries and reduced noise. Not yet a productised wearable.</w:t>
            </w:r>
          </w:p>
        </w:tc>
      </w:tr>
      <w:tr>
        <w:trPr>
          <w:cantSplit/>
          <w:tblHeader w:val="false"/>
        </w:trPr>
        <w:tc>
          <w:tcPr>
            <w:tcW w:type="dxa" w:w="33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Quality management team (execution risk)</w:t>
            </w:r>
          </w:p>
        </w:tc>
        <w:tc>
          <w:tcPr>
            <w:tcW w:type="dxa" w:w="16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5.0</w:t>
            </w:r>
          </w:p>
        </w:tc>
        <w:tc>
          <w:tcPr>
            <w:tcW w:type="dxa" w:w="44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Full marks. Ex-GE general manager of engineering, two NTNU ultrasound PhDs, in the right city for this technology.</w:t>
            </w:r>
          </w:p>
        </w:tc>
      </w:tr>
      <w:tr>
        <w:trPr>
          <w:cantSplit/>
          <w:tblHeader w:val="false"/>
        </w:trPr>
        <w:tc>
          <w:tcPr>
            <w:tcW w:type="dxa" w:w="33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Strategic relationships (market risk)</w:t>
            </w:r>
          </w:p>
        </w:tc>
        <w:tc>
          <w:tcPr>
            <w:tcW w:type="dxa" w:w="16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3.0</w:t>
            </w:r>
          </w:p>
        </w:tc>
        <w:tc>
          <w:tcPr>
            <w:tcW w:type="dxa" w:w="44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NTNU and CERG, Innovation Norway, a heavyweight advisory board, a banking relationship. But no commercial partner, distributor or design win.</w:t>
            </w:r>
          </w:p>
        </w:tc>
      </w:tr>
      <w:tr>
        <w:trPr>
          <w:cantSplit/>
          <w:tblHeader w:val="false"/>
        </w:trPr>
        <w:tc>
          <w:tcPr>
            <w:tcW w:type="dxa" w:w="33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Product rollout (production risk)</w:t>
            </w:r>
          </w:p>
        </w:tc>
        <w:tc>
          <w:tcPr>
            <w:tcW w:type="dxa" w:w="16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1.0</w:t>
            </w:r>
          </w:p>
        </w:tc>
        <w:tc>
          <w:tcPr>
            <w:tcW w:type="dxa" w:w="44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Pre-launch. No announced price, no CE mark evidence, no manufacturing partner on record.</w:t>
            </w:r>
          </w:p>
        </w:tc>
      </w:tr>
      <w:tr>
        <w:trPr>
          <w:cantSplit/>
          <w:tblHeader w:val="false"/>
        </w:trPr>
        <w:tc>
          <w:tcPr>
            <w:tcW w:type="dxa" w:w="3300"/>
            <w:shd w:fill="EDF3F4" w:color="auto" w:val="clear"/>
            <w:tcMar>
              <w:top w:type="dxa" w:w="70"/>
              <w:left w:type="dxa" w:w="110"/>
              <w:bottom w:type="dxa" w:w="70"/>
              <w:right w:type="dxa" w:w="110"/>
            </w:tcMar>
          </w:tcPr>
          <w:p>
            <w:pPr>
              <w:spacing w:after="0" w:line="250"/>
            </w:pPr>
            <w:r>
              <w:rPr>
                <w:rFonts w:ascii="Calibri" w:cs="Calibri" w:eastAsia="Calibri" w:hAnsi="Calibri"/>
                <w:b/>
                <w:bCs/>
                <w:color w:val="222629"/>
                <w:sz w:val="19"/>
                <w:szCs w:val="19"/>
              </w:rPr>
              <w:t xml:space="preserve">Berkus total</w:t>
            </w:r>
          </w:p>
        </w:tc>
        <w:tc>
          <w:tcPr>
            <w:tcW w:type="dxa" w:w="1600"/>
            <w:shd w:fill="EDF3F4" w:color="auto" w:val="clear"/>
            <w:tcMar>
              <w:top w:type="dxa" w:w="70"/>
              <w:left w:type="dxa" w:w="110"/>
              <w:bottom w:type="dxa" w:w="70"/>
              <w:right w:type="dxa" w:w="110"/>
            </w:tcMar>
          </w:tcPr>
          <w:p>
            <w:pPr>
              <w:spacing w:after="0" w:line="250"/>
            </w:pPr>
            <w:r>
              <w:rPr>
                <w:rFonts w:ascii="Calibri" w:cs="Calibri" w:eastAsia="Calibri" w:hAnsi="Calibri"/>
                <w:b/>
                <w:bCs/>
                <w:color w:val="222629"/>
                <w:sz w:val="19"/>
                <w:szCs w:val="19"/>
              </w:rPr>
              <w:t xml:space="preserve">17.0</w:t>
            </w:r>
          </w:p>
        </w:tc>
        <w:tc>
          <w:tcPr>
            <w:tcW w:type="dxa" w:w="44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Range NOK 13–22 million</w:t>
            </w:r>
          </w:p>
        </w:tc>
      </w:tr>
    </w:tbl>
    <w:p>
      <w:pPr>
        <w:spacing w:after="140"/>
      </w:pPr>
      <w:r>
        <w:rPr>
          <w:sz w:val="2"/>
          <w:szCs w:val="2"/>
        </w:rPr>
        <w:t xml:space="preserve"/>
      </w:r>
    </w:p>
    <w:p>
      <w:pPr>
        <w:pBdr>
          <w:bottom w:val="single" w:color="C9D6D9" w:sz="6" w:space="6"/>
        </w:pBdr>
        <w:spacing w:after="160" w:before="320"/>
      </w:pPr>
      <w:r>
        <w:rPr>
          <w:rFonts w:ascii="Calibri" w:cs="Calibri" w:eastAsia="Calibri" w:hAnsi="Calibri"/>
          <w:b/>
          <w:bCs/>
          <w:color w:val="0F4C5C"/>
          <w:sz w:val="27"/>
          <w:szCs w:val="27"/>
        </w:rPr>
        <w:t xml:space="preserve">7. Method four — Scorecard</w:t>
      </w:r>
    </w:p>
    <w:p>
      <w:pPr>
        <w:spacing w:after="140" w:line="276"/>
      </w:pPr>
      <w:r>
        <w:rPr>
          <w:rFonts w:ascii="Calibri" w:cs="Calibri" w:eastAsia="Calibri" w:hAnsi="Calibri"/>
          <w:color w:val="222629"/>
          <w:sz w:val="21"/>
          <w:szCs w:val="21"/>
        </w:rPr>
        <w:t xml:space="preserve">The Scorecard method starts from what comparable companies at the same stage in the same region are worth, then adjusts across weighted factors. The base rate is the load-bearing input.</w:t>
      </w:r>
    </w:p>
    <w:p>
      <w:pPr>
        <w:spacing w:after="120" w:before="240"/>
      </w:pPr>
      <w:r>
        <w:rPr>
          <w:rFonts w:ascii="Calibri" w:cs="Calibri" w:eastAsia="Calibri" w:hAnsi="Calibri"/>
          <w:b/>
          <w:bCs/>
          <w:color w:val="1B7F8C"/>
          <w:sz w:val="22"/>
          <w:szCs w:val="22"/>
        </w:rPr>
        <w:t xml:space="preserve">Setting the base rate</w:t>
      </w:r>
    </w:p>
    <w:p>
      <w:pPr>
        <w:spacing w:after="140" w:line="276"/>
      </w:pPr>
      <w:r>
        <w:rPr>
          <w:rFonts w:ascii="Calibri" w:cs="Calibri" w:eastAsia="Calibri" w:hAnsi="Calibri"/>
          <w:color w:val="222629"/>
          <w:sz w:val="21"/>
          <w:szCs w:val="21"/>
        </w:rPr>
        <w:t xml:space="preserve">Nordic seed rounds have a median pre-money valuation of about EUR 3 million, roughly NOK 33 million, and that median has been stable across 2024 and 2025. Nordic pre-seed sits at EUR 1–3.1 million, or NOK 11–34 million. SonoFit sits between the two definitions: it is twenty-two months old with nine staff and a completed institutional round, which reads as seed, but it is pre-revenue with a prototype, which reads as pre-seed.</w:t>
      </w:r>
    </w:p>
    <w:p>
      <w:pPr>
        <w:spacing w:after="140" w:line="276"/>
      </w:pPr>
      <w:r>
        <w:rPr>
          <w:rFonts w:ascii="Calibri" w:cs="Calibri" w:eastAsia="Calibri" w:hAnsi="Calibri"/>
          <w:color w:val="222629"/>
          <w:sz w:val="21"/>
          <w:szCs w:val="21"/>
        </w:rPr>
        <w:t xml:space="preserve">Two offsetting adjustments then apply. Healthcare and medtech seed rounds are larger than the all-sector median, at EUR 4–5 million, which implies higher valuations. Against that, hardware and deeptech carry a structural discount to software at the same stage, because they need more capital to reach traction and carry regulatory and manufacturing risk on top of technical risk. The two roughly cancel, with the discount slightly ahead. The base rate used here is NOK 30 million.</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3000"/>
        <w:gridCol w:w="1200"/>
        <w:gridCol w:w="1300"/>
        <w:gridCol w:w="3860"/>
      </w:tblGrid>
      <w:tr>
        <w:trPr>
          <w:cantSplit/>
          <w:tblHeader/>
        </w:trPr>
        <w:tc>
          <w:tcPr>
            <w:tcW w:type="dxa" w:w="30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Factor</w:t>
            </w:r>
          </w:p>
        </w:tc>
        <w:tc>
          <w:tcPr>
            <w:tcW w:type="dxa" w:w="12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Weight</w:t>
            </w:r>
          </w:p>
        </w:tc>
        <w:tc>
          <w:tcPr>
            <w:tcW w:type="dxa" w:w="13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Multiple</w:t>
            </w:r>
          </w:p>
        </w:tc>
        <w:tc>
          <w:tcPr>
            <w:tcW w:type="dxa" w:w="386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Assessment</w:t>
            </w:r>
          </w:p>
        </w:tc>
      </w:tr>
      <w:tr>
        <w:trPr>
          <w:cantSplit/>
          <w:tblHeader w:val="false"/>
        </w:trPr>
        <w:tc>
          <w:tcPr>
            <w:tcW w:type="dxa" w:w="30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Strength of management team</w:t>
            </w:r>
          </w:p>
        </w:tc>
        <w:tc>
          <w:tcPr>
            <w:tcW w:type="dxa" w:w="1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30 %</w:t>
            </w:r>
          </w:p>
        </w:tc>
        <w:tc>
          <w:tcPr>
            <w:tcW w:type="dxa" w:w="13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1.35</w:t>
            </w:r>
          </w:p>
        </w:tc>
        <w:tc>
          <w:tcPr>
            <w:tcW w:type="dxa" w:w="38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Exceptional domain fit. Marked down slightly because the founder is both chief executive and chair, and the board is family-adjacent.</w:t>
            </w:r>
          </w:p>
        </w:tc>
      </w:tr>
      <w:tr>
        <w:trPr>
          <w:cantSplit/>
          <w:tblHeader w:val="false"/>
        </w:trPr>
        <w:tc>
          <w:tcPr>
            <w:tcW w:type="dxa" w:w="30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Size of the opportunity</w:t>
            </w:r>
          </w:p>
        </w:tc>
        <w:tc>
          <w:tcPr>
            <w:tcW w:type="dxa" w:w="12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25 %</w:t>
            </w:r>
          </w:p>
        </w:tc>
        <w:tc>
          <w:tcPr>
            <w:tcW w:type="dxa" w:w="13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0.75</w:t>
            </w:r>
          </w:p>
        </w:tc>
        <w:tc>
          <w:tcPr>
            <w:tcW w:type="dxa" w:w="38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The weak point. Sports lactate monitoring is a USD 96 m market with two funded failures in it.</w:t>
            </w:r>
          </w:p>
        </w:tc>
      </w:tr>
      <w:tr>
        <w:trPr>
          <w:cantSplit/>
          <w:tblHeader w:val="false"/>
        </w:trPr>
        <w:tc>
          <w:tcPr>
            <w:tcW w:type="dxa" w:w="30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Product and technology</w:t>
            </w:r>
          </w:p>
        </w:tc>
        <w:tc>
          <w:tcPr>
            <w:tcW w:type="dxa" w:w="1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15 %</w:t>
            </w:r>
          </w:p>
        </w:tc>
        <w:tc>
          <w:tcPr>
            <w:tcW w:type="dxa" w:w="13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1.30</w:t>
            </w:r>
          </w:p>
        </w:tc>
        <w:tc>
          <w:tcPr>
            <w:tcW w:type="dxa" w:w="38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Direct flow measurement rather than inference, in-house transducers, patent pending. Real differentiation.</w:t>
            </w:r>
          </w:p>
        </w:tc>
      </w:tr>
      <w:tr>
        <w:trPr>
          <w:cantSplit/>
          <w:tblHeader w:val="false"/>
        </w:trPr>
        <w:tc>
          <w:tcPr>
            <w:tcW w:type="dxa" w:w="30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Competitive environment</w:t>
            </w:r>
          </w:p>
        </w:tc>
        <w:tc>
          <w:tcPr>
            <w:tcW w:type="dxa" w:w="12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10 %</w:t>
            </w:r>
          </w:p>
        </w:tc>
        <w:tc>
          <w:tcPr>
            <w:tcW w:type="dxa" w:w="13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1.00</w:t>
            </w:r>
          </w:p>
        </w:tc>
        <w:tc>
          <w:tcPr>
            <w:tcW w:type="dxa" w:w="38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Direct competitors are dead or tiny — which is as much a warning as an opening.</w:t>
            </w:r>
          </w:p>
        </w:tc>
      </w:tr>
      <w:tr>
        <w:trPr>
          <w:cantSplit/>
          <w:tblHeader w:val="false"/>
        </w:trPr>
        <w:tc>
          <w:tcPr>
            <w:tcW w:type="dxa" w:w="30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Marketing, sales and partnerships</w:t>
            </w:r>
          </w:p>
        </w:tc>
        <w:tc>
          <w:tcPr>
            <w:tcW w:type="dxa" w:w="1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10 %</w:t>
            </w:r>
          </w:p>
        </w:tc>
        <w:tc>
          <w:tcPr>
            <w:tcW w:type="dxa" w:w="13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0.80</w:t>
            </w:r>
          </w:p>
        </w:tc>
        <w:tc>
          <w:tcPr>
            <w:tcW w:type="dxa" w:w="38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No channel, no distributor, no announced commercial partner.</w:t>
            </w:r>
          </w:p>
        </w:tc>
      </w:tr>
      <w:tr>
        <w:trPr>
          <w:cantSplit/>
          <w:tblHeader w:val="false"/>
        </w:trPr>
        <w:tc>
          <w:tcPr>
            <w:tcW w:type="dxa" w:w="30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Need for further investment</w:t>
            </w:r>
          </w:p>
        </w:tc>
        <w:tc>
          <w:tcPr>
            <w:tcW w:type="dxa" w:w="12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5 %</w:t>
            </w:r>
          </w:p>
        </w:tc>
        <w:tc>
          <w:tcPr>
            <w:tcW w:type="dxa" w:w="13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0.70</w:t>
            </w:r>
          </w:p>
        </w:tc>
        <w:tc>
          <w:tcPr>
            <w:tcW w:type="dxa" w:w="38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Hardware plus possible regulatory work. Already reaching for bank debt.</w:t>
            </w:r>
          </w:p>
        </w:tc>
      </w:tr>
      <w:tr>
        <w:trPr>
          <w:cantSplit/>
          <w:tblHeader w:val="false"/>
        </w:trPr>
        <w:tc>
          <w:tcPr>
            <w:tcW w:type="dxa" w:w="30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Other</w:t>
            </w:r>
          </w:p>
        </w:tc>
        <w:tc>
          <w:tcPr>
            <w:tcW w:type="dxa" w:w="1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5 %</w:t>
            </w:r>
          </w:p>
        </w:tc>
        <w:tc>
          <w:tcPr>
            <w:tcW w:type="dxa" w:w="13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1.10</w:t>
            </w:r>
          </w:p>
        </w:tc>
        <w:tc>
          <w:tcPr>
            <w:tcW w:type="dxa" w:w="38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Trondheim ultrasound cluster, non-dilutive support, strong advisory board.</w:t>
            </w:r>
          </w:p>
        </w:tc>
      </w:tr>
      <w:tr>
        <w:trPr>
          <w:cantSplit/>
          <w:tblHeader w:val="false"/>
        </w:trPr>
        <w:tc>
          <w:tcPr>
            <w:tcW w:type="dxa" w:w="3000"/>
            <w:shd w:fill="EDF3F4" w:color="auto" w:val="clear"/>
            <w:tcMar>
              <w:top w:type="dxa" w:w="70"/>
              <w:left w:type="dxa" w:w="110"/>
              <w:bottom w:type="dxa" w:w="70"/>
              <w:right w:type="dxa" w:w="110"/>
            </w:tcMar>
          </w:tcPr>
          <w:p>
            <w:pPr>
              <w:spacing w:after="0" w:line="250"/>
            </w:pPr>
            <w:r>
              <w:rPr>
                <w:rFonts w:ascii="Calibri" w:cs="Calibri" w:eastAsia="Calibri" w:hAnsi="Calibri"/>
                <w:b/>
                <w:bCs/>
                <w:color w:val="222629"/>
                <w:sz w:val="19"/>
                <w:szCs w:val="19"/>
              </w:rPr>
              <w:t xml:space="preserve">Weighted multiple</w:t>
            </w:r>
          </w:p>
        </w:tc>
        <w:tc>
          <w:tcPr>
            <w:tcW w:type="dxa" w:w="1200"/>
            <w:shd w:fill="EDF3F4" w:color="auto" w:val="clear"/>
            <w:tcMar>
              <w:top w:type="dxa" w:w="70"/>
              <w:left w:type="dxa" w:w="110"/>
              <w:bottom w:type="dxa" w:w="70"/>
              <w:right w:type="dxa" w:w="110"/>
            </w:tcMar>
          </w:tcPr>
          <w:p>
            <w:pPr>
              <w:spacing w:after="0" w:line="250"/>
            </w:pPr>
            <w:r>
              <w:rPr>
                <w:rFonts w:ascii="Calibri" w:cs="Calibri" w:eastAsia="Calibri" w:hAnsi="Calibri"/>
                <w:b/>
                <w:bCs/>
                <w:color w:val="222629"/>
                <w:sz w:val="19"/>
                <w:szCs w:val="19"/>
              </w:rPr>
              <w:t xml:space="preserve">100 %</w:t>
            </w:r>
          </w:p>
        </w:tc>
        <w:tc>
          <w:tcPr>
            <w:tcW w:type="dxa" w:w="1300"/>
            <w:shd w:fill="EDF3F4" w:color="auto" w:val="clear"/>
            <w:tcMar>
              <w:top w:type="dxa" w:w="70"/>
              <w:left w:type="dxa" w:w="110"/>
              <w:bottom w:type="dxa" w:w="70"/>
              <w:right w:type="dxa" w:w="110"/>
            </w:tcMar>
          </w:tcPr>
          <w:p>
            <w:pPr>
              <w:spacing w:after="0" w:line="250"/>
            </w:pPr>
            <w:r>
              <w:rPr>
                <w:rFonts w:ascii="Calibri" w:cs="Calibri" w:eastAsia="Calibri" w:hAnsi="Calibri"/>
                <w:b/>
                <w:bCs/>
                <w:color w:val="222629"/>
                <w:sz w:val="19"/>
                <w:szCs w:val="19"/>
              </w:rPr>
              <w:t xml:space="preserve">1.06</w:t>
            </w:r>
          </w:p>
        </w:tc>
        <w:tc>
          <w:tcPr>
            <w:tcW w:type="dxa" w:w="38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NOK 30 m base × 1.06 = NOK 31.7 m</w:t>
            </w:r>
          </w:p>
        </w:tc>
      </w:tr>
    </w:tbl>
    <w:p>
      <w:pPr>
        <w:spacing w:after="140"/>
      </w:pPr>
      <w:r>
        <w:rPr>
          <w:sz w:val="2"/>
          <w:szCs w:val="2"/>
        </w:rPr>
        <w:t xml:space="preserve"/>
      </w:r>
    </w:p>
    <w:tbl>
      <w:tblPr>
        <w:tblW w:type="dxa" w:w="9360"/>
        <w:tblBorders>
          <w:top w:val="none" w:color="FFFFFF" w:sz="0"/>
          <w:left w:val="single" w:color="1B7F8C" w:sz="18"/>
          <w:bottom w:val="none" w:color="FFFFFF" w:sz="0"/>
          <w:right w:val="none" w:color="FFFFFF" w:sz="0"/>
          <w:insideH w:val="none" w:color="FFFFFF" w:sz="0"/>
          <w:insideV w:val="none" w:color="FFFFFF" w:sz="0"/>
        </w:tblBorders>
      </w:tblPr>
      <w:tblGrid>
        <w:gridCol w:w="9360"/>
      </w:tblGrid>
      <w:tr>
        <w:tc>
          <w:tcPr>
            <w:tcW w:type="dxa" w:w="9360"/>
            <w:shd w:fill="EDF3F4" w:color="auto" w:val="clear"/>
            <w:tcMar>
              <w:top w:type="dxa" w:w="150"/>
              <w:left w:type="dxa" w:w="200"/>
              <w:bottom w:type="dxa" w:w="150"/>
              <w:right w:type="dxa" w:w="200"/>
            </w:tcMar>
          </w:tcPr>
          <w:p>
            <w:pPr>
              <w:spacing w:after="80"/>
            </w:pPr>
            <w:r>
              <w:rPr>
                <w:rFonts w:ascii="Calibri" w:cs="Calibri" w:eastAsia="Calibri" w:hAnsi="Calibri"/>
                <w:b/>
                <w:bCs/>
                <w:color w:val="0F4C5C"/>
                <w:sz w:val="21"/>
                <w:szCs w:val="21"/>
              </w:rPr>
              <w:t xml:space="preserve">Scorecard indication</w:t>
            </w:r>
          </w:p>
          <w:p>
            <w:pPr>
              <w:spacing w:after="0" w:line="276"/>
            </w:pPr>
            <w:r>
              <w:rPr>
                <w:rFonts w:ascii="Calibri" w:cs="Calibri" w:eastAsia="Calibri" w:hAnsi="Calibri"/>
                <w:color w:val="222629"/>
                <w:sz w:val="20"/>
                <w:szCs w:val="20"/>
              </w:rPr>
              <w:t xml:space="preserve">NOK 32 million, range NOK 25–40 million. The estimate is most sensitive to the size-of-opportunity factor: moving it from 0.75 to 1.00 alone would add NOK 1.9 million, and raising the base rate to the full Nordic seed median of NOK 33 million would take the result to NOK 35 million.</w:t>
            </w:r>
          </w:p>
        </w:tc>
      </w:tr>
    </w:tbl>
    <w:p>
      <w:pPr>
        <w:pBdr>
          <w:bottom w:val="single" w:color="C9D6D9" w:sz="6" w:space="6"/>
        </w:pBdr>
        <w:spacing w:after="160" w:before="320"/>
      </w:pPr>
      <w:r>
        <w:rPr>
          <w:rFonts w:ascii="Calibri" w:cs="Calibri" w:eastAsia="Calibri" w:hAnsi="Calibri"/>
          <w:b/>
          <w:bCs/>
          <w:color w:val="0F4C5C"/>
          <w:sz w:val="27"/>
          <w:szCs w:val="27"/>
        </w:rPr>
        <w:t xml:space="preserve">8. Method five — Risk Factor Summation</w:t>
      </w:r>
    </w:p>
    <w:p>
      <w:pPr>
        <w:spacing w:after="140" w:line="276"/>
      </w:pPr>
      <w:r>
        <w:rPr>
          <w:rFonts w:ascii="Calibri" w:cs="Calibri" w:eastAsia="Calibri" w:hAnsi="Calibri"/>
          <w:color w:val="222629"/>
          <w:sz w:val="21"/>
          <w:szCs w:val="21"/>
        </w:rPr>
        <w:t xml:space="preserve">This method takes the same base rate and adjusts it across twelve risk categories, each scored from minus two to plus two, with each step worth NOK 2.5 million.</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3400"/>
        <w:gridCol w:w="1400"/>
        <w:gridCol w:w="4560"/>
      </w:tblGrid>
      <w:tr>
        <w:trPr>
          <w:cantSplit/>
          <w:tblHeader/>
        </w:trPr>
        <w:tc>
          <w:tcPr>
            <w:tcW w:type="dxa" w:w="34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Risk factor</w:t>
            </w:r>
          </w:p>
        </w:tc>
        <w:tc>
          <w:tcPr>
            <w:tcW w:type="dxa" w:w="14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Score</w:t>
            </w:r>
          </w:p>
        </w:tc>
        <w:tc>
          <w:tcPr>
            <w:tcW w:type="dxa" w:w="456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Comment</w:t>
            </w:r>
          </w:p>
        </w:tc>
      </w:tr>
      <w:tr>
        <w:trPr>
          <w:cantSplit/>
          <w:tblHeader w:val="false"/>
        </w:trPr>
        <w:tc>
          <w:tcPr>
            <w:tcW w:type="dxa" w:w="3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Management</w:t>
            </w:r>
          </w:p>
        </w:tc>
        <w:tc>
          <w:tcPr>
            <w:tcW w:type="dxa" w:w="1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+2</w:t>
            </w:r>
          </w:p>
        </w:tc>
        <w:tc>
          <w:tcPr>
            <w:tcW w:type="dxa" w:w="45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The strongest single asset in the company.</w:t>
            </w:r>
          </w:p>
        </w:tc>
      </w:tr>
      <w:tr>
        <w:trPr>
          <w:cantSplit/>
          <w:tblHeader w:val="false"/>
        </w:trPr>
        <w:tc>
          <w:tcPr>
            <w:tcW w:type="dxa" w:w="3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Stage of business</w:t>
            </w:r>
          </w:p>
        </w:tc>
        <w:tc>
          <w:tcPr>
            <w:tcW w:type="dxa" w:w="1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w:t>
            </w:r>
          </w:p>
        </w:tc>
        <w:tc>
          <w:tcPr>
            <w:tcW w:type="dxa" w:w="45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Pre-revenue, pre-launch, no commercial validation.</w:t>
            </w:r>
          </w:p>
        </w:tc>
      </w:tr>
      <w:tr>
        <w:trPr>
          <w:cantSplit/>
          <w:tblHeader w:val="false"/>
        </w:trPr>
        <w:tc>
          <w:tcPr>
            <w:tcW w:type="dxa" w:w="3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Legislative and regulatory</w:t>
            </w:r>
          </w:p>
        </w:tc>
        <w:tc>
          <w:tcPr>
            <w:tcW w:type="dxa" w:w="1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w:t>
            </w:r>
          </w:p>
        </w:tc>
        <w:tc>
          <w:tcPr>
            <w:tcW w:type="dxa" w:w="45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Wellness positioning is light-touch, but any physiological claim risks pulling the device into MDR.</w:t>
            </w:r>
          </w:p>
        </w:tc>
      </w:tr>
      <w:tr>
        <w:trPr>
          <w:cantSplit/>
          <w:tblHeader w:val="false"/>
        </w:trPr>
        <w:tc>
          <w:tcPr>
            <w:tcW w:type="dxa" w:w="3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Manufacturing</w:t>
            </w:r>
          </w:p>
        </w:tc>
        <w:tc>
          <w:tcPr>
            <w:tcW w:type="dxa" w:w="1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w:t>
            </w:r>
          </w:p>
        </w:tc>
        <w:tc>
          <w:tcPr>
            <w:tcW w:type="dxa" w:w="45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Custom transducers at volume is a hard, capital-hungry problem.</w:t>
            </w:r>
          </w:p>
        </w:tc>
      </w:tr>
      <w:tr>
        <w:trPr>
          <w:cantSplit/>
          <w:tblHeader w:val="false"/>
        </w:trPr>
        <w:tc>
          <w:tcPr>
            <w:tcW w:type="dxa" w:w="3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Sales and marketing</w:t>
            </w:r>
          </w:p>
        </w:tc>
        <w:tc>
          <w:tcPr>
            <w:tcW w:type="dxa" w:w="1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w:t>
            </w:r>
          </w:p>
        </w:tc>
        <w:tc>
          <w:tcPr>
            <w:tcW w:type="dxa" w:w="45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No channel and no announced route to market.</w:t>
            </w:r>
          </w:p>
        </w:tc>
      </w:tr>
      <w:tr>
        <w:trPr>
          <w:cantSplit/>
          <w:tblHeader w:val="false"/>
        </w:trPr>
        <w:tc>
          <w:tcPr>
            <w:tcW w:type="dxa" w:w="3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Funding and capital raising</w:t>
            </w:r>
          </w:p>
        </w:tc>
        <w:tc>
          <w:tcPr>
            <w:tcW w:type="dxa" w:w="1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w:t>
            </w:r>
          </w:p>
        </w:tc>
        <w:tc>
          <w:tcPr>
            <w:tcW w:type="dxa" w:w="45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Will need substantially more; took secured bank debt in June 2026.</w:t>
            </w:r>
          </w:p>
        </w:tc>
      </w:tr>
      <w:tr>
        <w:trPr>
          <w:cantSplit/>
          <w:tblHeader w:val="false"/>
        </w:trPr>
        <w:tc>
          <w:tcPr>
            <w:tcW w:type="dxa" w:w="3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Competition</w:t>
            </w:r>
          </w:p>
        </w:tc>
        <w:tc>
          <w:tcPr>
            <w:tcW w:type="dxa" w:w="1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w:t>
            </w:r>
          </w:p>
        </w:tc>
        <w:tc>
          <w:tcPr>
            <w:tcW w:type="dxa" w:w="45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The field has largely cleared.</w:t>
            </w:r>
          </w:p>
        </w:tc>
      </w:tr>
      <w:tr>
        <w:trPr>
          <w:cantSplit/>
          <w:tblHeader w:val="false"/>
        </w:trPr>
        <w:tc>
          <w:tcPr>
            <w:tcW w:type="dxa" w:w="3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Technology</w:t>
            </w:r>
          </w:p>
        </w:tc>
        <w:tc>
          <w:tcPr>
            <w:tcW w:type="dxa" w:w="1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w:t>
            </w:r>
          </w:p>
        </w:tc>
        <w:tc>
          <w:tcPr>
            <w:tcW w:type="dxa" w:w="45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In-house transducer capability is a durable advantage.</w:t>
            </w:r>
          </w:p>
        </w:tc>
      </w:tr>
      <w:tr>
        <w:trPr>
          <w:cantSplit/>
          <w:tblHeader w:val="false"/>
        </w:trPr>
        <w:tc>
          <w:tcPr>
            <w:tcW w:type="dxa" w:w="3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Litigation</w:t>
            </w:r>
          </w:p>
        </w:tc>
        <w:tc>
          <w:tcPr>
            <w:tcW w:type="dxa" w:w="1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0</w:t>
            </w:r>
          </w:p>
        </w:tc>
        <w:tc>
          <w:tcPr>
            <w:tcW w:type="dxa" w:w="45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Nothing on the record.</w:t>
            </w:r>
          </w:p>
        </w:tc>
      </w:tr>
      <w:tr>
        <w:trPr>
          <w:cantSplit/>
          <w:tblHeader w:val="false"/>
        </w:trPr>
        <w:tc>
          <w:tcPr>
            <w:tcW w:type="dxa" w:w="3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International</w:t>
            </w:r>
          </w:p>
        </w:tc>
        <w:tc>
          <w:tcPr>
            <w:tcW w:type="dxa" w:w="1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w:t>
            </w:r>
          </w:p>
        </w:tc>
        <w:tc>
          <w:tcPr>
            <w:tcW w:type="dxa" w:w="45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Export-ready market, English-language sales, credible cluster.</w:t>
            </w:r>
          </w:p>
        </w:tc>
      </w:tr>
      <w:tr>
        <w:trPr>
          <w:cantSplit/>
          <w:tblHeader w:val="false"/>
        </w:trPr>
        <w:tc>
          <w:tcPr>
            <w:tcW w:type="dxa" w:w="3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Reputation</w:t>
            </w:r>
          </w:p>
        </w:tc>
        <w:tc>
          <w:tcPr>
            <w:tcW w:type="dxa" w:w="14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w:t>
            </w:r>
          </w:p>
        </w:tc>
        <w:tc>
          <w:tcPr>
            <w:tcW w:type="dxa" w:w="45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National press, GE pedigree, Elkem chief executive on the advisory board.</w:t>
            </w:r>
          </w:p>
        </w:tc>
      </w:tr>
      <w:tr>
        <w:trPr>
          <w:cantSplit/>
          <w:tblHeader w:val="false"/>
        </w:trPr>
        <w:tc>
          <w:tcPr>
            <w:tcW w:type="dxa" w:w="3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Exit value</w:t>
            </w:r>
          </w:p>
        </w:tc>
        <w:tc>
          <w:tcPr>
            <w:tcW w:type="dxa" w:w="14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w:t>
            </w:r>
          </w:p>
        </w:tc>
        <w:tc>
          <w:tcPr>
            <w:tcW w:type="dxa" w:w="45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Every comparable exit in this category has been small or distressed.</w:t>
            </w:r>
          </w:p>
        </w:tc>
      </w:tr>
      <w:tr>
        <w:trPr>
          <w:cantSplit/>
          <w:tblHeader w:val="false"/>
        </w:trPr>
        <w:tc>
          <w:tcPr>
            <w:tcW w:type="dxa" w:w="3400"/>
            <w:shd w:fill="FFFFFF" w:color="auto" w:val="clear"/>
            <w:tcMar>
              <w:top w:type="dxa" w:w="70"/>
              <w:left w:type="dxa" w:w="110"/>
              <w:bottom w:type="dxa" w:w="70"/>
              <w:right w:type="dxa" w:w="110"/>
            </w:tcMar>
          </w:tcPr>
          <w:p>
            <w:pPr>
              <w:spacing w:after="0" w:line="250"/>
            </w:pPr>
            <w:r>
              <w:rPr>
                <w:rFonts w:ascii="Calibri" w:cs="Calibri" w:eastAsia="Calibri" w:hAnsi="Calibri"/>
                <w:b/>
                <w:bCs/>
                <w:color w:val="222629"/>
                <w:sz w:val="19"/>
                <w:szCs w:val="19"/>
              </w:rPr>
              <w:t xml:space="preserve">Net adjustment</w:t>
            </w:r>
          </w:p>
        </w:tc>
        <w:tc>
          <w:tcPr>
            <w:tcW w:type="dxa" w:w="1400"/>
            <w:shd w:fill="FFFFFF" w:color="auto" w:val="clear"/>
            <w:tcMar>
              <w:top w:type="dxa" w:w="70"/>
              <w:left w:type="dxa" w:w="110"/>
              <w:bottom w:type="dxa" w:w="70"/>
              <w:right w:type="dxa" w:w="110"/>
            </w:tcMar>
          </w:tcPr>
          <w:p>
            <w:pPr>
              <w:spacing w:after="0" w:line="250"/>
            </w:pPr>
            <w:r>
              <w:rPr>
                <w:rFonts w:ascii="Calibri" w:cs="Calibri" w:eastAsia="Calibri" w:hAnsi="Calibri"/>
                <w:b/>
                <w:bCs/>
                <w:color w:val="222629"/>
                <w:sz w:val="19"/>
                <w:szCs w:val="19"/>
              </w:rPr>
              <w:t xml:space="preserve">0</w:t>
            </w:r>
          </w:p>
        </w:tc>
        <w:tc>
          <w:tcPr>
            <w:tcW w:type="dxa" w:w="4560"/>
            <w:shd w:fill="FFFFFF" w:color="auto" w:val="clear"/>
            <w:tcMar>
              <w:top w:type="dxa" w:w="70"/>
              <w:left w:type="dxa" w:w="110"/>
              <w:bottom w:type="dxa" w:w="70"/>
              <w:right w:type="dxa" w:w="110"/>
            </w:tcMar>
          </w:tcPr>
          <w:p>
            <w:pPr>
              <w:spacing w:after="0" w:line="250"/>
            </w:pPr>
            <w:r>
              <w:rPr>
                <w:rFonts w:ascii="Calibri" w:cs="Calibri" w:eastAsia="Calibri" w:hAnsi="Calibri"/>
                <w:b/>
                <w:bCs/>
                <w:color w:val="222629"/>
                <w:sz w:val="19"/>
                <w:szCs w:val="19"/>
              </w:rPr>
              <w:t xml:space="preserve">Six positives worth +NOK 15.0 m, six negatives worth −NOK 15.0 m. Base NOK 30 m unchanged.</w:t>
            </w:r>
          </w:p>
        </w:tc>
      </w:tr>
    </w:tbl>
    <w:p>
      <w:pPr>
        <w:spacing w:after="140"/>
      </w:pPr>
      <w:r>
        <w:rPr>
          <w:sz w:val="2"/>
          <w:szCs w:val="2"/>
        </w:rPr>
        <w:t xml:space="preserve"/>
      </w:r>
    </w:p>
    <w:tbl>
      <w:tblPr>
        <w:tblW w:type="dxa" w:w="9360"/>
        <w:tblBorders>
          <w:top w:val="none" w:color="FFFFFF" w:sz="0"/>
          <w:left w:val="single" w:color="1B7F8C" w:sz="18"/>
          <w:bottom w:val="none" w:color="FFFFFF" w:sz="0"/>
          <w:right w:val="none" w:color="FFFFFF" w:sz="0"/>
          <w:insideH w:val="none" w:color="FFFFFF" w:sz="0"/>
          <w:insideV w:val="none" w:color="FFFFFF" w:sz="0"/>
        </w:tblBorders>
      </w:tblPr>
      <w:tblGrid>
        <w:gridCol w:w="9360"/>
      </w:tblGrid>
      <w:tr>
        <w:tc>
          <w:tcPr>
            <w:tcW w:type="dxa" w:w="9360"/>
            <w:shd w:fill="EDF3F4" w:color="auto" w:val="clear"/>
            <w:tcMar>
              <w:top w:type="dxa" w:w="150"/>
              <w:left w:type="dxa" w:w="200"/>
              <w:bottom w:type="dxa" w:w="150"/>
              <w:right w:type="dxa" w:w="200"/>
            </w:tcMar>
          </w:tcPr>
          <w:p>
            <w:pPr>
              <w:spacing w:after="80"/>
            </w:pPr>
            <w:r>
              <w:rPr>
                <w:rFonts w:ascii="Calibri" w:cs="Calibri" w:eastAsia="Calibri" w:hAnsi="Calibri"/>
                <w:b/>
                <w:bCs/>
                <w:color w:val="0F4C5C"/>
                <w:sz w:val="21"/>
                <w:szCs w:val="21"/>
              </w:rPr>
              <w:t xml:space="preserve">Risk Factor Summation indication</w:t>
            </w:r>
          </w:p>
          <w:p>
            <w:pPr>
              <w:spacing w:after="0" w:line="276"/>
            </w:pPr>
            <w:r>
              <w:rPr>
                <w:rFonts w:ascii="Calibri" w:cs="Calibri" w:eastAsia="Calibri" w:hAnsi="Calibri"/>
                <w:color w:val="222629"/>
                <w:sz w:val="20"/>
                <w:szCs w:val="20"/>
              </w:rPr>
              <w:t xml:space="preserve">NOK 30 million, range NOK 23–38 million. That the positives and negatives cancel exactly is a coincidence of scoring, but the underlying picture is real: this is an unusually strong team pointed at an unusually difficult market.</w:t>
            </w:r>
          </w:p>
        </w:tc>
      </w:tr>
    </w:tbl>
    <w:p>
      <w:pPr>
        <w:pBdr>
          <w:bottom w:val="single" w:color="C9D6D9" w:sz="6" w:space="6"/>
        </w:pBdr>
        <w:spacing w:after="160" w:before="320"/>
      </w:pPr>
      <w:r>
        <w:rPr>
          <w:rFonts w:ascii="Calibri" w:cs="Calibri" w:eastAsia="Calibri" w:hAnsi="Calibri"/>
          <w:b/>
          <w:bCs/>
          <w:color w:val="0F4C5C"/>
          <w:sz w:val="27"/>
          <w:szCs w:val="27"/>
        </w:rPr>
        <w:t xml:space="preserve">9. Method six — the VC method from exit scenarios</w:t>
      </w:r>
    </w:p>
    <w:p>
      <w:pPr>
        <w:spacing w:after="140" w:line="276"/>
      </w:pPr>
      <w:r>
        <w:rPr>
          <w:rFonts w:ascii="Calibri" w:cs="Calibri" w:eastAsia="Calibri" w:hAnsi="Calibri"/>
          <w:color w:val="222629"/>
          <w:sz w:val="21"/>
          <w:szCs w:val="21"/>
        </w:rPr>
        <w:t xml:space="preserve">Working backwards from what SonoFit might eventually be sold for is the method an investor actually applies, and it is the only one here that engages with the upside.</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3000"/>
        <w:gridCol w:w="1500"/>
        <w:gridCol w:w="1900"/>
        <w:gridCol w:w="2960"/>
      </w:tblGrid>
      <w:tr>
        <w:trPr>
          <w:cantSplit/>
          <w:tblHeader/>
        </w:trPr>
        <w:tc>
          <w:tcPr>
            <w:tcW w:type="dxa" w:w="30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Exit scenario in 2032</w:t>
            </w:r>
          </w:p>
        </w:tc>
        <w:tc>
          <w:tcPr>
            <w:tcW w:type="dxa" w:w="15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Probability</w:t>
            </w:r>
          </w:p>
        </w:tc>
        <w:tc>
          <w:tcPr>
            <w:tcW w:type="dxa" w:w="19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Exit value</w:t>
            </w:r>
          </w:p>
        </w:tc>
        <w:tc>
          <w:tcPr>
            <w:tcW w:type="dxa" w:w="296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Basis</w:t>
            </w:r>
          </w:p>
        </w:tc>
      </w:tr>
      <w:tr>
        <w:trPr>
          <w:cantSplit/>
          <w:tblHeader w:val="false"/>
        </w:trPr>
        <w:tc>
          <w:tcPr>
            <w:tcW w:type="dxa" w:w="30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Wind-down or asset sale</w:t>
            </w:r>
          </w:p>
        </w:tc>
        <w:tc>
          <w:tcPr>
            <w:tcW w:type="dxa" w:w="15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50 %</w:t>
            </w:r>
          </w:p>
        </w:tc>
        <w:tc>
          <w:tcPr>
            <w:tcW w:type="dxa" w:w="19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NOK 15 m</w:t>
            </w:r>
          </w:p>
        </w:tc>
        <w:tc>
          <w:tcPr>
            <w:tcW w:type="dxa" w:w="29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The base case for this category on the evidence of section 3.</w:t>
            </w:r>
          </w:p>
        </w:tc>
      </w:tr>
      <w:tr>
        <w:trPr>
          <w:cantSplit/>
          <w:tblHeader w:val="false"/>
        </w:trPr>
        <w:tc>
          <w:tcPr>
            <w:tcW w:type="dxa" w:w="30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Niche trade sale</w:t>
            </w:r>
          </w:p>
        </w:tc>
        <w:tc>
          <w:tcPr>
            <w:tcW w:type="dxa" w:w="15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37 %</w:t>
            </w:r>
          </w:p>
        </w:tc>
        <w:tc>
          <w:tcPr>
            <w:tcW w:type="dxa" w:w="19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NOK 250 m</w:t>
            </w:r>
          </w:p>
        </w:tc>
        <w:tc>
          <w:tcPr>
            <w:tcW w:type="dxa" w:w="29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Elite endurance and laboratory market, sold to a Garmin, Polar, Whoop or GE HealthCare.</w:t>
            </w:r>
          </w:p>
        </w:tc>
      </w:tr>
      <w:tr>
        <w:trPr>
          <w:cantSplit/>
          <w:tblHeader w:val="false"/>
        </w:trPr>
        <w:tc>
          <w:tcPr>
            <w:tcW w:type="dxa" w:w="30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Clinical crossover</w:t>
            </w:r>
          </w:p>
        </w:tc>
        <w:tc>
          <w:tcPr>
            <w:tcW w:type="dxa" w:w="15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13 %</w:t>
            </w:r>
          </w:p>
        </w:tc>
        <w:tc>
          <w:tcPr>
            <w:tcW w:type="dxa" w:w="19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NOK 1 800 m</w:t>
            </w:r>
          </w:p>
        </w:tc>
        <w:tc>
          <w:tcPr>
            <w:tcW w:type="dxa" w:w="29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The platform is pointed at continuous clinical monitoring, where the wearable patch market grows 15 % a year.</w:t>
            </w:r>
          </w:p>
        </w:tc>
      </w:tr>
      <w:tr>
        <w:trPr>
          <w:cantSplit/>
          <w:tblHeader w:val="false"/>
        </w:trPr>
        <w:tc>
          <w:tcPr>
            <w:tcW w:type="dxa" w:w="3000"/>
            <w:shd w:fill="EDF3F4" w:color="auto" w:val="clear"/>
            <w:tcMar>
              <w:top w:type="dxa" w:w="70"/>
              <w:left w:type="dxa" w:w="110"/>
              <w:bottom w:type="dxa" w:w="70"/>
              <w:right w:type="dxa" w:w="110"/>
            </w:tcMar>
          </w:tcPr>
          <w:p>
            <w:pPr>
              <w:spacing w:after="0" w:line="250"/>
            </w:pPr>
            <w:r>
              <w:rPr>
                <w:rFonts w:ascii="Calibri" w:cs="Calibri" w:eastAsia="Calibri" w:hAnsi="Calibri"/>
                <w:b/>
                <w:bCs/>
                <w:color w:val="222629"/>
                <w:sz w:val="19"/>
                <w:szCs w:val="19"/>
              </w:rPr>
              <w:t xml:space="preserve">Probability-weighted exit</w:t>
            </w:r>
          </w:p>
        </w:tc>
        <w:tc>
          <w:tcPr>
            <w:tcW w:type="dxa" w:w="1500"/>
            <w:shd w:fill="EDF3F4" w:color="auto" w:val="clear"/>
            <w:tcMar>
              <w:top w:type="dxa" w:w="70"/>
              <w:left w:type="dxa" w:w="110"/>
              <w:bottom w:type="dxa" w:w="70"/>
              <w:right w:type="dxa" w:w="110"/>
            </w:tcMar>
          </w:tcPr>
          <w:p>
            <w:pPr>
              <w:spacing w:after="0" w:line="250"/>
            </w:pPr>
            <w:r>
              <w:rPr>
                <w:rFonts w:ascii="Calibri" w:cs="Calibri" w:eastAsia="Calibri" w:hAnsi="Calibri"/>
                <w:b/>
                <w:bCs/>
                <w:color w:val="222629"/>
                <w:sz w:val="19"/>
                <w:szCs w:val="19"/>
              </w:rPr>
              <w:t xml:space="preserve">100 %</w:t>
            </w:r>
          </w:p>
        </w:tc>
        <w:tc>
          <w:tcPr>
            <w:tcW w:type="dxa" w:w="1900"/>
            <w:shd w:fill="EDF3F4" w:color="auto" w:val="clear"/>
            <w:tcMar>
              <w:top w:type="dxa" w:w="70"/>
              <w:left w:type="dxa" w:w="110"/>
              <w:bottom w:type="dxa" w:w="70"/>
              <w:right w:type="dxa" w:w="110"/>
            </w:tcMar>
          </w:tcPr>
          <w:p>
            <w:pPr>
              <w:spacing w:after="0" w:line="250"/>
            </w:pPr>
            <w:r>
              <w:rPr>
                <w:rFonts w:ascii="Calibri" w:cs="Calibri" w:eastAsia="Calibri" w:hAnsi="Calibri"/>
                <w:b/>
                <w:bCs/>
                <w:color w:val="222629"/>
                <w:sz w:val="19"/>
                <w:szCs w:val="19"/>
              </w:rPr>
              <w:t xml:space="preserve">NOK 334 m</w:t>
            </w:r>
          </w:p>
        </w:tc>
        <w:tc>
          <w:tcPr>
            <w:tcW w:type="dxa" w:w="29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7.5 + 92.5 + 234.0</w:t>
            </w:r>
          </w:p>
        </w:tc>
      </w:tr>
    </w:tbl>
    <w:p>
      <w:pPr>
        <w:spacing w:after="140"/>
      </w:pPr>
      <w:r>
        <w:rPr>
          <w:sz w:val="2"/>
          <w:szCs w:val="2"/>
        </w:rPr>
        <w:t xml:space="preserve"/>
      </w:r>
    </w:p>
    <w:p>
      <w:pPr>
        <w:spacing w:after="140" w:line="276"/>
      </w:pPr>
      <w:r>
        <w:rPr>
          <w:rFonts w:ascii="Calibri" w:cs="Calibri" w:eastAsia="Calibri" w:hAnsi="Calibri"/>
          <w:color w:val="222629"/>
          <w:sz w:val="21"/>
          <w:szCs w:val="21"/>
        </w:rPr>
        <w:t xml:space="preserve">Discounting NOK 334 million over six years at thirty per cent gives NOK 69 million. The thirty per cent rate reflects illiquidity and market risk only, because failure risk is already carried in the probability weights — using a venture hurdle rate of fifty per cent as well would double-count it. SonoFit will need substantially more capital before any exit, so today's shareholders should expect to be diluted to around forty per cent. That gives NOK 27.7 million.</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3900"/>
        <w:gridCol w:w="1820"/>
        <w:gridCol w:w="1820"/>
        <w:gridCol w:w="1820"/>
      </w:tblGrid>
      <w:tr>
        <w:trPr>
          <w:cantSplit/>
          <w:tblHeader/>
        </w:trPr>
        <w:tc>
          <w:tcPr>
            <w:tcW w:type="dxa" w:w="39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Sensitivity</w:t>
            </w:r>
          </w:p>
        </w:tc>
        <w:tc>
          <w:tcPr>
            <w:tcW w:type="dxa" w:w="182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Low</w:t>
            </w:r>
          </w:p>
        </w:tc>
        <w:tc>
          <w:tcPr>
            <w:tcW w:type="dxa" w:w="182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Central</w:t>
            </w:r>
          </w:p>
        </w:tc>
        <w:tc>
          <w:tcPr>
            <w:tcW w:type="dxa" w:w="182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High</w:t>
            </w:r>
          </w:p>
        </w:tc>
      </w:tr>
      <w:tr>
        <w:trPr>
          <w:cantSplit/>
          <w:tblHeader w:val="false"/>
        </w:trPr>
        <w:tc>
          <w:tcPr>
            <w:tcW w:type="dxa" w:w="39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Retained ownership at exit</w:t>
            </w:r>
          </w:p>
        </w:tc>
        <w:tc>
          <w:tcPr>
            <w:tcW w:type="dxa" w:w="18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30 %</w:t>
            </w:r>
          </w:p>
        </w:tc>
        <w:tc>
          <w:tcPr>
            <w:tcW w:type="dxa" w:w="18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40 %</w:t>
            </w:r>
          </w:p>
        </w:tc>
        <w:tc>
          <w:tcPr>
            <w:tcW w:type="dxa" w:w="18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50 %</w:t>
            </w:r>
          </w:p>
        </w:tc>
      </w:tr>
      <w:tr>
        <w:trPr>
          <w:cantSplit/>
          <w:tblHeader w:val="false"/>
        </w:trPr>
        <w:tc>
          <w:tcPr>
            <w:tcW w:type="dxa" w:w="39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Value at 30 % discount rate</w:t>
            </w:r>
          </w:p>
        </w:tc>
        <w:tc>
          <w:tcPr>
            <w:tcW w:type="dxa" w:w="18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20.8</w:t>
            </w:r>
          </w:p>
        </w:tc>
        <w:tc>
          <w:tcPr>
            <w:tcW w:type="dxa" w:w="18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27.7</w:t>
            </w:r>
          </w:p>
        </w:tc>
        <w:tc>
          <w:tcPr>
            <w:tcW w:type="dxa" w:w="18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34.6</w:t>
            </w:r>
          </w:p>
        </w:tc>
      </w:tr>
      <w:tr>
        <w:trPr>
          <w:cantSplit/>
          <w:tblHeader w:val="false"/>
        </w:trPr>
        <w:tc>
          <w:tcPr>
            <w:tcW w:type="dxa" w:w="39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Value at 25 % discount rate</w:t>
            </w:r>
          </w:p>
        </w:tc>
        <w:tc>
          <w:tcPr>
            <w:tcW w:type="dxa" w:w="18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26.3</w:t>
            </w:r>
          </w:p>
        </w:tc>
        <w:tc>
          <w:tcPr>
            <w:tcW w:type="dxa" w:w="18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35.0</w:t>
            </w:r>
          </w:p>
        </w:tc>
        <w:tc>
          <w:tcPr>
            <w:tcW w:type="dxa" w:w="18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43.8</w:t>
            </w:r>
          </w:p>
        </w:tc>
      </w:tr>
      <w:tr>
        <w:trPr>
          <w:cantSplit/>
          <w:tblHeader w:val="false"/>
        </w:trPr>
        <w:tc>
          <w:tcPr>
            <w:tcW w:type="dxa" w:w="39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Value at 35 % discount rate</w:t>
            </w:r>
          </w:p>
        </w:tc>
        <w:tc>
          <w:tcPr>
            <w:tcW w:type="dxa" w:w="18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16.6</w:t>
            </w:r>
          </w:p>
        </w:tc>
        <w:tc>
          <w:tcPr>
            <w:tcW w:type="dxa" w:w="18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22.1</w:t>
            </w:r>
          </w:p>
        </w:tc>
        <w:tc>
          <w:tcPr>
            <w:tcW w:type="dxa" w:w="18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27.6</w:t>
            </w:r>
          </w:p>
        </w:tc>
      </w:tr>
    </w:tbl>
    <w:p>
      <w:pPr>
        <w:spacing w:after="140"/>
      </w:pPr>
      <w:r>
        <w:rPr>
          <w:sz w:val="2"/>
          <w:szCs w:val="2"/>
        </w:rPr>
        <w:t xml:space="preserve"/>
      </w:r>
    </w:p>
    <w:tbl>
      <w:tblPr>
        <w:tblW w:type="dxa" w:w="9360"/>
        <w:tblBorders>
          <w:top w:val="none" w:color="FFFFFF" w:sz="0"/>
          <w:left w:val="single" w:color="1B7F8C" w:sz="18"/>
          <w:bottom w:val="none" w:color="FFFFFF" w:sz="0"/>
          <w:right w:val="none" w:color="FFFFFF" w:sz="0"/>
          <w:insideH w:val="none" w:color="FFFFFF" w:sz="0"/>
          <w:insideV w:val="none" w:color="FFFFFF" w:sz="0"/>
        </w:tblBorders>
      </w:tblPr>
      <w:tblGrid>
        <w:gridCol w:w="9360"/>
      </w:tblGrid>
      <w:tr>
        <w:tc>
          <w:tcPr>
            <w:tcW w:type="dxa" w:w="9360"/>
            <w:shd w:fill="EDF3F4" w:color="auto" w:val="clear"/>
            <w:tcMar>
              <w:top w:type="dxa" w:w="150"/>
              <w:left w:type="dxa" w:w="200"/>
              <w:bottom w:type="dxa" w:w="150"/>
              <w:right w:type="dxa" w:w="200"/>
            </w:tcMar>
          </w:tcPr>
          <w:p>
            <w:pPr>
              <w:spacing w:after="80"/>
            </w:pPr>
            <w:r>
              <w:rPr>
                <w:rFonts w:ascii="Calibri" w:cs="Calibri" w:eastAsia="Calibri" w:hAnsi="Calibri"/>
                <w:b/>
                <w:bCs/>
                <w:color w:val="0F4C5C"/>
                <w:sz w:val="21"/>
                <w:szCs w:val="21"/>
              </w:rPr>
              <w:t xml:space="preserve">VC method indication</w:t>
            </w:r>
          </w:p>
          <w:p>
            <w:pPr>
              <w:spacing w:after="0" w:line="276"/>
            </w:pPr>
            <w:r>
              <w:rPr>
                <w:rFonts w:ascii="Calibri" w:cs="Calibri" w:eastAsia="Calibri" w:hAnsi="Calibri"/>
                <w:color w:val="222629"/>
                <w:sz w:val="20"/>
                <w:szCs w:val="20"/>
              </w:rPr>
              <w:t xml:space="preserve">NOK 28 million, range NOK 21–35 million. The result is dominated by the thirteen per cent clinical crossover case, which contributes NOK 234 million of the NOK 334 million expected exit. If you do not believe in the platform story, this method collapses towards NOK 8 million.</w:t>
            </w:r>
          </w:p>
        </w:tc>
      </w:tr>
    </w:tbl>
    <w:p>
      <w:pPr>
        <w:pBdr>
          <w:bottom w:val="single" w:color="C9D6D9" w:sz="6" w:space="6"/>
        </w:pBdr>
        <w:spacing w:after="160" w:before="320"/>
      </w:pPr>
      <w:r>
        <w:rPr>
          <w:rFonts w:ascii="Calibri" w:cs="Calibri" w:eastAsia="Calibri" w:hAnsi="Calibri"/>
          <w:b/>
          <w:bCs/>
          <w:color w:val="0F4C5C"/>
          <w:sz w:val="27"/>
          <w:szCs w:val="27"/>
        </w:rPr>
        <w:t xml:space="preserve">10. Method seven — comparable transactions</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2900"/>
        <w:gridCol w:w="2100"/>
        <w:gridCol w:w="2200"/>
        <w:gridCol w:w="2160"/>
      </w:tblGrid>
      <w:tr>
        <w:trPr>
          <w:cantSplit/>
          <w:tblHeader/>
        </w:trPr>
        <w:tc>
          <w:tcPr>
            <w:tcW w:type="dxa" w:w="29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Comparable</w:t>
            </w:r>
          </w:p>
        </w:tc>
        <w:tc>
          <w:tcPr>
            <w:tcW w:type="dxa" w:w="21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Stage</w:t>
            </w:r>
          </w:p>
        </w:tc>
        <w:tc>
          <w:tcPr>
            <w:tcW w:type="dxa" w:w="22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Implied pre-money</w:t>
            </w:r>
          </w:p>
        </w:tc>
        <w:tc>
          <w:tcPr>
            <w:tcW w:type="dxa" w:w="216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Read-across</w:t>
            </w:r>
          </w:p>
        </w:tc>
      </w:tr>
      <w:tr>
        <w:trPr>
          <w:cantSplit/>
          <w:tblHeader w:val="false"/>
        </w:trPr>
        <w:tc>
          <w:tcPr>
            <w:tcW w:type="dxa" w:w="29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Nordic seed median</w:t>
            </w:r>
          </w:p>
        </w:tc>
        <w:tc>
          <w:tcPr>
            <w:tcW w:type="dxa" w:w="21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Seed</w:t>
            </w:r>
          </w:p>
        </w:tc>
        <w:tc>
          <w:tcPr>
            <w:tcW w:type="dxa" w:w="2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approx. NOK 33 m</w:t>
            </w:r>
          </w:p>
        </w:tc>
        <w:tc>
          <w:tcPr>
            <w:tcW w:type="dxa" w:w="21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Direct base rate; all sectors, so flattered by software</w:t>
            </w:r>
          </w:p>
        </w:tc>
      </w:tr>
      <w:tr>
        <w:trPr>
          <w:cantSplit/>
          <w:tblHeader w:val="false"/>
        </w:trPr>
        <w:tc>
          <w:tcPr>
            <w:tcW w:type="dxa" w:w="29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Nordic pre-seed median</w:t>
            </w:r>
          </w:p>
        </w:tc>
        <w:tc>
          <w:tcPr>
            <w:tcW w:type="dxa" w:w="21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Pre-seed</w:t>
            </w:r>
          </w:p>
        </w:tc>
        <w:tc>
          <w:tcPr>
            <w:tcW w:type="dxa" w:w="22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NOK 11–34 m</w:t>
            </w:r>
          </w:p>
        </w:tc>
        <w:tc>
          <w:tcPr>
            <w:tcW w:type="dxa" w:w="21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SonoFit is beyond this stage</w:t>
            </w:r>
          </w:p>
        </w:tc>
      </w:tr>
      <w:tr>
        <w:trPr>
          <w:cantSplit/>
          <w:tblHeader w:val="false"/>
        </w:trPr>
        <w:tc>
          <w:tcPr>
            <w:tcW w:type="dxa" w:w="29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Pulsify Medical (Belgium)</w:t>
            </w:r>
          </w:p>
        </w:tc>
        <w:tc>
          <w:tcPr>
            <w:tcW w:type="dxa" w:w="21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Series A, 2021</w:t>
            </w:r>
          </w:p>
        </w:tc>
        <w:tc>
          <w:tcPr>
            <w:tcW w:type="dxa" w:w="2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est. NOK 115–200 m</w:t>
            </w:r>
          </w:p>
        </w:tc>
        <w:tc>
          <w:tcPr>
            <w:tcW w:type="dxa" w:w="21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Best structural comparable — wearable ultrasound patch, imec and KU Leuven spinout. Discount 60–75 % for clinical vs sports market and for the imec technology base</w:t>
            </w:r>
          </w:p>
        </w:tc>
      </w:tr>
      <w:tr>
        <w:trPr>
          <w:cantSplit/>
          <w:tblHeader w:val="false"/>
        </w:trPr>
        <w:tc>
          <w:tcPr>
            <w:tcW w:type="dxa" w:w="29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Sonair (Oslo)</w:t>
            </w:r>
          </w:p>
        </w:tc>
        <w:tc>
          <w:tcPr>
            <w:tcW w:type="dxa" w:w="21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2025</w:t>
            </w:r>
          </w:p>
        </w:tc>
        <w:tc>
          <w:tcPr>
            <w:tcW w:type="dxa" w:w="22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Undisclosed</w:t>
            </w:r>
          </w:p>
        </w:tc>
        <w:tc>
          <w:tcPr>
            <w:tcW w:type="dxa" w:w="21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Norwegian ultrasound hardware, USD 6 m round with Investinor and ProVenture. Confirms Norwegian appetite for ultrasound deeptech</w:t>
            </w:r>
          </w:p>
        </w:tc>
      </w:tr>
      <w:tr>
        <w:trPr>
          <w:cantSplit/>
          <w:tblHeader w:val="false"/>
        </w:trPr>
        <w:tc>
          <w:tcPr>
            <w:tcW w:type="dxa" w:w="29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BSX Athletics</w:t>
            </w:r>
          </w:p>
        </w:tc>
        <w:tc>
          <w:tcPr>
            <w:tcW w:type="dxa" w:w="21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Series A, ~2015</w:t>
            </w:r>
          </w:p>
        </w:tc>
        <w:tc>
          <w:tcPr>
            <w:tcW w:type="dxa" w:w="22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est. NOK 140–240 m</w:t>
            </w:r>
          </w:p>
        </w:tc>
        <w:tc>
          <w:tcPr>
            <w:tcW w:type="dxa" w:w="21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Cautionary rather than supportive — this valuation preceded a total loss</w:t>
            </w:r>
          </w:p>
        </w:tc>
      </w:tr>
    </w:tbl>
    <w:p>
      <w:pPr>
        <w:spacing w:after="140"/>
      </w:pPr>
      <w:r>
        <w:rPr>
          <w:sz w:val="2"/>
          <w:szCs w:val="2"/>
        </w:rPr>
        <w:t xml:space="preserve"/>
      </w:r>
    </w:p>
    <w:p>
      <w:pPr>
        <w:spacing w:after="140" w:line="276"/>
      </w:pPr>
      <w:r>
        <w:rPr>
          <w:rFonts w:ascii="Calibri" w:cs="Calibri" w:eastAsia="Calibri" w:hAnsi="Calibri"/>
          <w:color w:val="222629"/>
          <w:sz w:val="21"/>
          <w:szCs w:val="21"/>
        </w:rPr>
        <w:t xml:space="preserve">The comparables are the weakest evidence here, because the one true structural match is a Belgian company at a later stage with a clinical market and imec behind it, and the closest business-model match went to zero. Taken together they support a band of NOK 25–50 million with a central figure around NOK 33 million, which is really just the Nordic seed median restated.</w:t>
      </w:r>
    </w:p>
    <w:p>
      <w:pPr>
        <w:pBdr>
          <w:bottom w:val="single" w:color="C9D6D9" w:sz="6" w:space="6"/>
        </w:pBdr>
        <w:spacing w:after="160" w:before="320"/>
      </w:pPr>
      <w:r>
        <w:rPr>
          <w:rFonts w:ascii="Calibri" w:cs="Calibri" w:eastAsia="Calibri" w:hAnsi="Calibri"/>
          <w:b/>
          <w:bCs/>
          <w:color w:val="0F4C5C"/>
          <w:sz w:val="27"/>
          <w:szCs w:val="27"/>
        </w:rPr>
        <w:t xml:space="preserve">11. Synthesis</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3300"/>
        <w:gridCol w:w="1500"/>
        <w:gridCol w:w="1500"/>
        <w:gridCol w:w="1500"/>
        <w:gridCol w:w="1560"/>
      </w:tblGrid>
      <w:tr>
        <w:trPr>
          <w:cantSplit/>
          <w:tblHeader/>
        </w:trPr>
        <w:tc>
          <w:tcPr>
            <w:tcW w:type="dxa" w:w="33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Method</w:t>
            </w:r>
          </w:p>
        </w:tc>
        <w:tc>
          <w:tcPr>
            <w:tcW w:type="dxa" w:w="150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Low</w:t>
            </w:r>
          </w:p>
        </w:tc>
        <w:tc>
          <w:tcPr>
            <w:tcW w:type="dxa" w:w="150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Central</w:t>
            </w:r>
          </w:p>
        </w:tc>
        <w:tc>
          <w:tcPr>
            <w:tcW w:type="dxa" w:w="150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High</w:t>
            </w:r>
          </w:p>
        </w:tc>
        <w:tc>
          <w:tcPr>
            <w:tcW w:type="dxa" w:w="156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Weight</w:t>
            </w:r>
          </w:p>
        </w:tc>
      </w:tr>
      <w:tr>
        <w:trPr>
          <w:cantSplit/>
          <w:tblHeader w:val="false"/>
        </w:trPr>
        <w:tc>
          <w:tcPr>
            <w:tcW w:type="dxa" w:w="33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Replacement cost</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8</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12</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18</w:t>
            </w:r>
          </w:p>
        </w:tc>
        <w:tc>
          <w:tcPr>
            <w:tcW w:type="dxa" w:w="156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15 %</w:t>
            </w:r>
          </w:p>
        </w:tc>
      </w:tr>
      <w:tr>
        <w:trPr>
          <w:cantSplit/>
          <w:tblHeader w:val="false"/>
        </w:trPr>
        <w:tc>
          <w:tcPr>
            <w:tcW w:type="dxa" w:w="33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Acqui-hire and asset floor</w:t>
            </w:r>
          </w:p>
        </w:tc>
        <w:tc>
          <w:tcPr>
            <w:tcW w:type="dxa" w:w="15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10</w:t>
            </w:r>
          </w:p>
        </w:tc>
        <w:tc>
          <w:tcPr>
            <w:tcW w:type="dxa" w:w="15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15</w:t>
            </w:r>
          </w:p>
        </w:tc>
        <w:tc>
          <w:tcPr>
            <w:tcW w:type="dxa" w:w="15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24</w:t>
            </w:r>
          </w:p>
        </w:tc>
        <w:tc>
          <w:tcPr>
            <w:tcW w:type="dxa" w:w="156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10 %</w:t>
            </w:r>
          </w:p>
        </w:tc>
      </w:tr>
      <w:tr>
        <w:trPr>
          <w:cantSplit/>
          <w:tblHeader w:val="false"/>
        </w:trPr>
        <w:tc>
          <w:tcPr>
            <w:tcW w:type="dxa" w:w="33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Berkus</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13</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17</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22</w:t>
            </w:r>
          </w:p>
        </w:tc>
        <w:tc>
          <w:tcPr>
            <w:tcW w:type="dxa" w:w="156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15 %</w:t>
            </w:r>
          </w:p>
        </w:tc>
      </w:tr>
      <w:tr>
        <w:trPr>
          <w:cantSplit/>
          <w:tblHeader w:val="false"/>
        </w:trPr>
        <w:tc>
          <w:tcPr>
            <w:tcW w:type="dxa" w:w="33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Scorecard</w:t>
            </w:r>
          </w:p>
        </w:tc>
        <w:tc>
          <w:tcPr>
            <w:tcW w:type="dxa" w:w="15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25</w:t>
            </w:r>
          </w:p>
        </w:tc>
        <w:tc>
          <w:tcPr>
            <w:tcW w:type="dxa" w:w="15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32</w:t>
            </w:r>
          </w:p>
        </w:tc>
        <w:tc>
          <w:tcPr>
            <w:tcW w:type="dxa" w:w="15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40</w:t>
            </w:r>
          </w:p>
        </w:tc>
        <w:tc>
          <w:tcPr>
            <w:tcW w:type="dxa" w:w="156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20 %</w:t>
            </w:r>
          </w:p>
        </w:tc>
      </w:tr>
      <w:tr>
        <w:trPr>
          <w:cantSplit/>
          <w:tblHeader w:val="false"/>
        </w:trPr>
        <w:tc>
          <w:tcPr>
            <w:tcW w:type="dxa" w:w="33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Risk Factor Summation</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23</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30</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38</w:t>
            </w:r>
          </w:p>
        </w:tc>
        <w:tc>
          <w:tcPr>
            <w:tcW w:type="dxa" w:w="156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20 %</w:t>
            </w:r>
          </w:p>
        </w:tc>
      </w:tr>
      <w:tr>
        <w:trPr>
          <w:cantSplit/>
          <w:tblHeader w:val="false"/>
        </w:trPr>
        <w:tc>
          <w:tcPr>
            <w:tcW w:type="dxa" w:w="33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VC method</w:t>
            </w:r>
          </w:p>
        </w:tc>
        <w:tc>
          <w:tcPr>
            <w:tcW w:type="dxa" w:w="15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21</w:t>
            </w:r>
          </w:p>
        </w:tc>
        <w:tc>
          <w:tcPr>
            <w:tcW w:type="dxa" w:w="15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28</w:t>
            </w:r>
          </w:p>
        </w:tc>
        <w:tc>
          <w:tcPr>
            <w:tcW w:type="dxa" w:w="15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35</w:t>
            </w:r>
          </w:p>
        </w:tc>
        <w:tc>
          <w:tcPr>
            <w:tcW w:type="dxa" w:w="156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10 %</w:t>
            </w:r>
          </w:p>
        </w:tc>
      </w:tr>
      <w:tr>
        <w:trPr>
          <w:cantSplit/>
          <w:tblHeader w:val="false"/>
        </w:trPr>
        <w:tc>
          <w:tcPr>
            <w:tcW w:type="dxa" w:w="33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Comparable transactions</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25</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33</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50</w:t>
            </w:r>
          </w:p>
        </w:tc>
        <w:tc>
          <w:tcPr>
            <w:tcW w:type="dxa" w:w="156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10 %</w:t>
            </w:r>
          </w:p>
        </w:tc>
      </w:tr>
      <w:tr>
        <w:trPr>
          <w:cantSplit/>
          <w:tblHeader w:val="false"/>
        </w:trPr>
        <w:tc>
          <w:tcPr>
            <w:tcW w:type="dxa" w:w="330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Weighted result (NOK m)</w:t>
            </w:r>
          </w:p>
        </w:tc>
        <w:tc>
          <w:tcPr>
            <w:tcW w:type="dxa" w:w="150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18.4</w:t>
            </w:r>
          </w:p>
        </w:tc>
        <w:tc>
          <w:tcPr>
            <w:tcW w:type="dxa" w:w="150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24.4</w:t>
            </w:r>
          </w:p>
        </w:tc>
        <w:tc>
          <w:tcPr>
            <w:tcW w:type="dxa" w:w="150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32.5</w:t>
            </w:r>
          </w:p>
        </w:tc>
        <w:tc>
          <w:tcPr>
            <w:tcW w:type="dxa" w:w="1560"/>
            <w:shd w:fill="EDF3F4"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100 %</w:t>
            </w:r>
          </w:p>
        </w:tc>
      </w:tr>
    </w:tbl>
    <w:p>
      <w:pPr>
        <w:spacing w:after="140"/>
      </w:pPr>
      <w:r>
        <w:rPr>
          <w:sz w:val="2"/>
          <w:szCs w:val="2"/>
        </w:rPr>
        <w:t xml:space="preserve"/>
      </w:r>
    </w:p>
    <w:p>
      <w:pPr>
        <w:spacing w:after="140" w:line="276"/>
      </w:pPr>
      <w:r>
        <w:rPr>
          <w:rFonts w:ascii="Calibri" w:cs="Calibri" w:eastAsia="Calibri" w:hAnsi="Calibri"/>
          <w:color w:val="222629"/>
          <w:sz w:val="21"/>
          <w:szCs w:val="21"/>
        </w:rPr>
        <w:t xml:space="preserve">The weighting gives forty per cent to the three floor methods and sixty per cent to the four forward-looking ones. That split is deliberate. The floor methods are the best-evidenced but systematically understate a company whose entire value is optionality; the forward-looking methods engage with the upside but rest on assumptions that cannot yet be tested.</w:t>
      </w:r>
    </w:p>
    <w:p>
      <w:pPr>
        <w:spacing w:after="140" w:line="276"/>
      </w:pPr>
      <w:r>
        <w:rPr>
          <w:rFonts w:ascii="Calibri" w:cs="Calibri" w:eastAsia="Calibri" w:hAnsi="Calibri"/>
          <w:color w:val="222629"/>
          <w:sz w:val="21"/>
          <w:szCs w:val="21"/>
        </w:rPr>
        <w:t xml:space="preserve">The pattern in the table is more informative than the weighted average. The floor methods cluster tightly at NOK 12–17 million. The market methods cluster just as tightly at NOK 28–33 million. The difference between those two clusters — about NOK 15 million — is the option value: the market's price for the possibility that this works and the platform generalises. Nothing in the evidence resolves whether that premium is right.</w:t>
      </w:r>
    </w:p>
    <w:p>
      <w:pPr>
        <w:spacing w:after="60"/>
      </w:pPr>
      <w:r>
        <w:rPr>
          <w:sz w:val="2"/>
          <w:szCs w:val="2"/>
        </w:rPr>
        <w:t xml:space="preserve"/>
      </w:r>
    </w:p>
    <w:tbl>
      <w:tblPr>
        <w:tblW w:type="dxa" w:w="9360"/>
        <w:tblBorders>
          <w:top w:val="none" w:color="FFFFFF" w:sz="0"/>
          <w:left w:val="single" w:color="1B7F8C" w:sz="18"/>
          <w:bottom w:val="none" w:color="FFFFFF" w:sz="0"/>
          <w:right w:val="none" w:color="FFFFFF" w:sz="0"/>
          <w:insideH w:val="none" w:color="FFFFFF" w:sz="0"/>
          <w:insideV w:val="none" w:color="FFFFFF" w:sz="0"/>
        </w:tblBorders>
      </w:tblPr>
      <w:tblGrid>
        <w:gridCol w:w="9360"/>
      </w:tblGrid>
      <w:tr>
        <w:tc>
          <w:tcPr>
            <w:tcW w:type="dxa" w:w="9360"/>
            <w:shd w:fill="EDF3F4" w:color="auto" w:val="clear"/>
            <w:tcMar>
              <w:top w:type="dxa" w:w="150"/>
              <w:left w:type="dxa" w:w="200"/>
              <w:bottom w:type="dxa" w:w="150"/>
              <w:right w:type="dxa" w:w="200"/>
            </w:tcMar>
          </w:tcPr>
          <w:p>
            <w:pPr>
              <w:spacing w:after="80"/>
            </w:pPr>
            <w:r>
              <w:rPr>
                <w:rFonts w:ascii="Calibri" w:cs="Calibri" w:eastAsia="Calibri" w:hAnsi="Calibri"/>
                <w:b/>
                <w:bCs/>
                <w:color w:val="0F4C5C"/>
                <w:sz w:val="21"/>
                <w:szCs w:val="21"/>
              </w:rPr>
              <w:t xml:space="preserve">Independent estimate</w:t>
            </w:r>
          </w:p>
          <w:p>
            <w:pPr>
              <w:spacing w:after="0" w:line="276"/>
            </w:pPr>
            <w:r>
              <w:rPr>
                <w:rFonts w:ascii="Calibri" w:cs="Calibri" w:eastAsia="Calibri" w:hAnsi="Calibri"/>
                <w:color w:val="222629"/>
                <w:sz w:val="20"/>
                <w:szCs w:val="20"/>
              </w:rPr>
              <w:t xml:space="preserve">NOK 25 million, or approximately NOK 210 per share, as at August 2026. Range NOK 15–40 million. The weighted arithmetic gives NOK 24.4 million; the range is widened beyond the mechanical NOK 18–33 million because the methods are correlated and would move together if the central assumptions are wrong.</w:t>
            </w:r>
          </w:p>
        </w:tc>
      </w:tr>
    </w:tbl>
    <w:p>
      <w:pPr>
        <w:spacing w:after="200"/>
      </w:pPr>
      <w:r>
        <w:rPr>
          <w:sz w:val="2"/>
          <w:szCs w:val="2"/>
        </w:rPr>
        <w:t xml:space="preserve"/>
      </w:r>
    </w:p>
    <w:p>
      <w:pPr>
        <w:pBdr>
          <w:bottom w:val="single" w:color="C9D6D9" w:sz="6" w:space="6"/>
        </w:pBdr>
        <w:spacing w:after="160" w:before="320"/>
      </w:pPr>
      <w:r>
        <w:rPr>
          <w:rFonts w:ascii="Calibri" w:cs="Calibri" w:eastAsia="Calibri" w:hAnsi="Calibri"/>
          <w:b/>
          <w:bCs/>
          <w:color w:val="0F4C5C"/>
          <w:sz w:val="27"/>
          <w:szCs w:val="27"/>
        </w:rPr>
        <w:t xml:space="preserve">12. Reconciliation with the September 2025 round</w:t>
      </w:r>
    </w:p>
    <w:p>
      <w:pPr>
        <w:spacing w:after="140" w:line="276"/>
      </w:pPr>
      <w:r>
        <w:rPr>
          <w:rFonts w:ascii="Calibri" w:cs="Calibri" w:eastAsia="Calibri" w:hAnsi="Calibri"/>
          <w:color w:val="222629"/>
          <w:sz w:val="21"/>
          <w:szCs w:val="21"/>
        </w:rPr>
        <w:t xml:space="preserve">The companion paper, working from the 15 per cent share purchase and an assumed NOK 6 million raise, arrived at a post-money of NOK 40 million in September 2025 and NOK 45 million today. This paper, using none of that, arrives at NOK 25 million. The two differ by NOK 20 million, and the clean-room figure is forty-four per cent lower.</w:t>
      </w:r>
    </w:p>
    <w:p>
      <w:pPr>
        <w:spacing w:after="120" w:before="240"/>
      </w:pPr>
      <w:r>
        <w:rPr>
          <w:rFonts w:ascii="Calibri" w:cs="Calibri" w:eastAsia="Calibri" w:hAnsi="Calibri"/>
          <w:b/>
          <w:bCs/>
          <w:color w:val="1B7F8C"/>
          <w:sz w:val="22"/>
          <w:szCs w:val="22"/>
        </w:rPr>
        <w:t xml:space="preserve">The most likely explanation is that the assumed raise was too big</w:t>
      </w:r>
    </w:p>
    <w:p>
      <w:pPr>
        <w:spacing w:after="140" w:line="276"/>
      </w:pPr>
      <w:r>
        <w:rPr>
          <w:rFonts w:ascii="Calibri" w:cs="Calibri" w:eastAsia="Calibri" w:hAnsi="Calibri"/>
          <w:color w:val="222629"/>
          <w:sz w:val="21"/>
          <w:szCs w:val="21"/>
        </w:rPr>
        <w:t xml:space="preserve">The arithmetic runs in reverse cleanly. A 15 per cent stake sold at a NOK 25 million post-money implies a raise of NOK 3.75 million. At NOK 30 million post-money it implies NOK 4.5 million. The companion paper assumed NOK 6 million, which requires a NOK 40 million post-money. So the clean-room build is really a statement that the September 2025 raise was more likely around NOK 4 million than NOK 6 million.</w:t>
      </w:r>
    </w:p>
    <w:p>
      <w:pPr>
        <w:spacing w:after="140" w:line="276"/>
      </w:pPr>
      <w:r>
        <w:rPr>
          <w:rFonts w:ascii="Calibri" w:cs="Calibri" w:eastAsia="Calibri" w:hAnsi="Calibri"/>
          <w:color w:val="222629"/>
          <w:sz w:val="21"/>
          <w:szCs w:val="21"/>
        </w:rPr>
        <w:t xml:space="preserve">There is a check available on that. The NOK 6 million assumption came from a burn reconstruction: estimated spending, less identifiable non-equity funding, leaves a gap that equity must have filled. But section 4 flagged the flaw in that reasoning. The burn estimate used market salary rates, and early-stage Norwegian companies with founders and students on the payroll do not pay market rates. If actual cash burn was NOK 8–9 million rather than NOK 14 million, then founding capital, the Innovation Norway grant, two years of SkatteFUNN and drawn bank debt cover most of it, and the equity gap shrinks to roughly NOK 3.5–4 million. That is exactly what the clean-room valuation independently implies.</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3300"/>
        <w:gridCol w:w="2020"/>
        <w:gridCol w:w="2020"/>
        <w:gridCol w:w="2020"/>
      </w:tblGrid>
      <w:tr>
        <w:trPr>
          <w:cantSplit/>
          <w:tblHeader/>
        </w:trPr>
        <w:tc>
          <w:tcPr>
            <w:tcW w:type="dxa" w:w="33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Reconciliation (NOK m)</w:t>
            </w:r>
          </w:p>
        </w:tc>
        <w:tc>
          <w:tcPr>
            <w:tcW w:type="dxa" w:w="202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Companion</w:t>
            </w:r>
          </w:p>
        </w:tc>
        <w:tc>
          <w:tcPr>
            <w:tcW w:type="dxa" w:w="202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Clean-room</w:t>
            </w:r>
          </w:p>
        </w:tc>
        <w:tc>
          <w:tcPr>
            <w:tcW w:type="dxa" w:w="2020"/>
            <w:shd w:fill="0F4C5C"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Reconciled</w:t>
            </w:r>
          </w:p>
        </w:tc>
      </w:tr>
      <w:tr>
        <w:trPr>
          <w:cantSplit/>
          <w:tblHeader w:val="false"/>
        </w:trPr>
        <w:tc>
          <w:tcPr>
            <w:tcW w:type="dxa" w:w="33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Assumed Sept 2025 raise</w:t>
            </w:r>
          </w:p>
        </w:tc>
        <w:tc>
          <w:tcPr>
            <w:tcW w:type="dxa" w:w="20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6.0</w:t>
            </w:r>
          </w:p>
        </w:tc>
        <w:tc>
          <w:tcPr>
            <w:tcW w:type="dxa" w:w="20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3.8 implied</w:t>
            </w:r>
          </w:p>
        </w:tc>
        <w:tc>
          <w:tcPr>
            <w:tcW w:type="dxa" w:w="20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4.5</w:t>
            </w:r>
          </w:p>
        </w:tc>
      </w:tr>
      <w:tr>
        <w:trPr>
          <w:cantSplit/>
          <w:tblHeader w:val="false"/>
        </w:trPr>
        <w:tc>
          <w:tcPr>
            <w:tcW w:type="dxa" w:w="33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Implied post-money, Sept 2025</w:t>
            </w:r>
          </w:p>
        </w:tc>
        <w:tc>
          <w:tcPr>
            <w:tcW w:type="dxa" w:w="20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40.0</w:t>
            </w:r>
          </w:p>
        </w:tc>
        <w:tc>
          <w:tcPr>
            <w:tcW w:type="dxa" w:w="20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25.0</w:t>
            </w:r>
          </w:p>
        </w:tc>
        <w:tc>
          <w:tcPr>
            <w:tcW w:type="dxa" w:w="20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30.0</w:t>
            </w:r>
          </w:p>
        </w:tc>
      </w:tr>
      <w:tr>
        <w:trPr>
          <w:cantSplit/>
          <w:tblHeader w:val="false"/>
        </w:trPr>
        <w:tc>
          <w:tcPr>
            <w:tcW w:type="dxa" w:w="330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Estimated value, Aug 2026</w:t>
            </w:r>
          </w:p>
        </w:tc>
        <w:tc>
          <w:tcPr>
            <w:tcW w:type="dxa" w:w="20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45.0</w:t>
            </w:r>
          </w:p>
        </w:tc>
        <w:tc>
          <w:tcPr>
            <w:tcW w:type="dxa" w:w="20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25.0</w:t>
            </w:r>
          </w:p>
        </w:tc>
        <w:tc>
          <w:tcPr>
            <w:tcW w:type="dxa" w:w="2020"/>
            <w:shd w:fill="FFFFFF"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30.0</w:t>
            </w:r>
          </w:p>
        </w:tc>
      </w:tr>
      <w:tr>
        <w:trPr>
          <w:cantSplit/>
          <w:tblHeader w:val="false"/>
        </w:trPr>
        <w:tc>
          <w:tcPr>
            <w:tcW w:type="dxa" w:w="330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Per share (÷ 117 648)</w:t>
            </w:r>
          </w:p>
        </w:tc>
        <w:tc>
          <w:tcPr>
            <w:tcW w:type="dxa" w:w="20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383</w:t>
            </w:r>
          </w:p>
        </w:tc>
        <w:tc>
          <w:tcPr>
            <w:tcW w:type="dxa" w:w="20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212</w:t>
            </w:r>
          </w:p>
        </w:tc>
        <w:tc>
          <w:tcPr>
            <w:tcW w:type="dxa" w:w="2020"/>
            <w:shd w:fill="EDF3F4"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222629"/>
                <w:sz w:val="19"/>
                <w:szCs w:val="19"/>
              </w:rPr>
              <w:t xml:space="preserve">255</w:t>
            </w:r>
          </w:p>
        </w:tc>
      </w:tr>
      <w:tr>
        <w:trPr>
          <w:cantSplit/>
          <w:tblHeader w:val="false"/>
        </w:trPr>
        <w:tc>
          <w:tcPr>
            <w:tcW w:type="dxa" w:w="3300"/>
            <w:shd w:fill="FFFFFF"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Credible range</w:t>
            </w:r>
          </w:p>
        </w:tc>
        <w:tc>
          <w:tcPr>
            <w:tcW w:type="dxa" w:w="2020"/>
            <w:shd w:fill="FFFFFF"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30–70</w:t>
            </w:r>
          </w:p>
        </w:tc>
        <w:tc>
          <w:tcPr>
            <w:tcW w:type="dxa" w:w="2020"/>
            <w:shd w:fill="FFFFFF"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15–40</w:t>
            </w:r>
          </w:p>
        </w:tc>
        <w:tc>
          <w:tcPr>
            <w:tcW w:type="dxa" w:w="2020"/>
            <w:shd w:fill="FFFFFF" w:color="auto" w:val="clear"/>
            <w:tcMar>
              <w:top w:type="dxa" w:w="70"/>
              <w:left w:type="dxa" w:w="110"/>
              <w:bottom w:type="dxa" w:w="70"/>
              <w:right w:type="dxa" w:w="110"/>
            </w:tcMar>
          </w:tcPr>
          <w:p>
            <w:pPr>
              <w:spacing w:after="0" w:line="250"/>
              <w:jc w:val="right"/>
            </w:pPr>
            <w:r>
              <w:rPr>
                <w:rFonts w:ascii="Calibri" w:cs="Calibri" w:eastAsia="Calibri" w:hAnsi="Calibri"/>
                <w:b/>
                <w:bCs/>
                <w:color w:val="222629"/>
                <w:sz w:val="19"/>
                <w:szCs w:val="19"/>
              </w:rPr>
              <w:t xml:space="preserve">20–45</w:t>
            </w:r>
          </w:p>
        </w:tc>
      </w:tr>
    </w:tbl>
    <w:p>
      <w:pPr>
        <w:spacing w:after="140"/>
      </w:pPr>
      <w:r>
        <w:rPr>
          <w:sz w:val="2"/>
          <w:szCs w:val="2"/>
        </w:rPr>
        <w:t xml:space="preserve"/>
      </w:r>
    </w:p>
    <w:p>
      <w:pPr>
        <w:spacing w:after="120" w:before="240"/>
      </w:pPr>
      <w:r>
        <w:rPr>
          <w:rFonts w:ascii="Calibri" w:cs="Calibri" w:eastAsia="Calibri" w:hAnsi="Calibri"/>
          <w:b/>
          <w:bCs/>
          <w:color w:val="1B7F8C"/>
          <w:sz w:val="22"/>
          <w:szCs w:val="22"/>
        </w:rPr>
        <w:t xml:space="preserve">Three reasons the clean-room figure could be too low</w:t>
      </w:r>
    </w:p>
    <w:p>
      <w:pPr>
        <w:spacing w:after="140" w:line="276"/>
      </w:pPr>
      <w:r>
        <w:rPr>
          <w:rFonts w:ascii="Calibri" w:cs="Calibri" w:eastAsia="Calibri" w:hAnsi="Calibri"/>
          <w:color w:val="222629"/>
          <w:sz w:val="21"/>
          <w:szCs w:val="21"/>
        </w:rPr>
        <w:t xml:space="preserve">First, the base rate. Nordic medians are dragged down by companies without a founder who ran engineering for GE Healthcare, and both the Scorecard and Risk Factor methods inherit that base directly. Second, the size-of-opportunity penalty. This paper marked the market down hard on the strength of BSX and Supersapiens, but an investor buying the platform thesis — wearable ultrasound as a clinical monitoring technology that happens to be entering through sports — would not apply that discount at all. Third, investors routinely pay above intrinsic value for scarce teams in scarce locations, and that premium is real money even if no model captures it.</w:t>
      </w:r>
    </w:p>
    <w:p>
      <w:pPr>
        <w:spacing w:after="120" w:before="240"/>
      </w:pPr>
      <w:r>
        <w:rPr>
          <w:rFonts w:ascii="Calibri" w:cs="Calibri" w:eastAsia="Calibri" w:hAnsi="Calibri"/>
          <w:b/>
          <w:bCs/>
          <w:color w:val="1B7F8C"/>
          <w:sz w:val="22"/>
          <w:szCs w:val="22"/>
        </w:rPr>
        <w:t xml:space="preserve">And one reason it could be too high</w:t>
      </w:r>
    </w:p>
    <w:p>
      <w:pPr>
        <w:spacing w:after="140" w:line="276"/>
      </w:pPr>
      <w:r>
        <w:rPr>
          <w:rFonts w:ascii="Calibri" w:cs="Calibri" w:eastAsia="Calibri" w:hAnsi="Calibri"/>
          <w:color w:val="222629"/>
          <w:sz w:val="21"/>
          <w:szCs w:val="21"/>
        </w:rPr>
        <w:t xml:space="preserve">The Adresseavisen coverage and the investor page on the website both suggest a company that was talking to capital in 2026, and the June 2026 decision to pledge receivables, inventory and equipment to DNB rather than raise equity is not the behaviour of a company that believes it can raise easily at an attractive price. Secured bank debt is the most expensive cheap money there is for a pre-revenue company, because it puts the assets at risk. Companies take it when the alternative is a down round or no round.</w:t>
      </w:r>
    </w:p>
    <w:p>
      <w:pPr>
        <w:spacing w:after="60"/>
      </w:pPr>
      <w:r>
        <w:rPr>
          <w:sz w:val="2"/>
          <w:szCs w:val="2"/>
        </w:rPr>
        <w:t xml:space="preserve"/>
      </w:r>
    </w:p>
    <w:tbl>
      <w:tblPr>
        <w:tblW w:type="dxa" w:w="9360"/>
        <w:tblBorders>
          <w:top w:val="none" w:color="FFFFFF" w:sz="0"/>
          <w:left w:val="single" w:color="1B7F8C" w:sz="18"/>
          <w:bottom w:val="none" w:color="FFFFFF" w:sz="0"/>
          <w:right w:val="none" w:color="FFFFFF" w:sz="0"/>
          <w:insideH w:val="none" w:color="FFFFFF" w:sz="0"/>
          <w:insideV w:val="none" w:color="FFFFFF" w:sz="0"/>
        </w:tblBorders>
      </w:tblPr>
      <w:tblGrid>
        <w:gridCol w:w="9360"/>
      </w:tblGrid>
      <w:tr>
        <w:tc>
          <w:tcPr>
            <w:tcW w:type="dxa" w:w="9360"/>
            <w:shd w:fill="EDF3F4" w:color="auto" w:val="clear"/>
            <w:tcMar>
              <w:top w:type="dxa" w:w="150"/>
              <w:left w:type="dxa" w:w="200"/>
              <w:bottom w:type="dxa" w:w="150"/>
              <w:right w:type="dxa" w:w="200"/>
            </w:tcMar>
          </w:tcPr>
          <w:p>
            <w:pPr>
              <w:spacing w:after="80"/>
            </w:pPr>
            <w:r>
              <w:rPr>
                <w:rFonts w:ascii="Calibri" w:cs="Calibri" w:eastAsia="Calibri" w:hAnsi="Calibri"/>
                <w:b/>
                <w:bCs/>
                <w:color w:val="0F4C5C"/>
                <w:sz w:val="21"/>
                <w:szCs w:val="21"/>
              </w:rPr>
              <w:t xml:space="preserve">Reconciled conclusion</w:t>
            </w:r>
          </w:p>
          <w:p>
            <w:pPr>
              <w:spacing w:after="0" w:line="276"/>
            </w:pPr>
            <w:r>
              <w:rPr>
                <w:rFonts w:ascii="Calibri" w:cs="Calibri" w:eastAsia="Calibri" w:hAnsi="Calibri"/>
                <w:color w:val="222629"/>
                <w:sz w:val="20"/>
                <w:szCs w:val="20"/>
              </w:rPr>
              <w:t xml:space="preserve">NOK 30 million, or approximately NOK 255 per share, as at August 2026, within a range of NOK 20–45 million. The principal revision to the companion paper is at the top end: nothing in this independent build supports a valuation approaching NOK 70 million, and that figure should be treated as withdrawn.</w:t>
            </w:r>
          </w:p>
        </w:tc>
      </w:tr>
    </w:tbl>
    <w:p>
      <w:pPr>
        <w:spacing w:after="200"/>
      </w:pPr>
      <w:r>
        <w:rPr>
          <w:sz w:val="2"/>
          <w:szCs w:val="2"/>
        </w:rPr>
        <w:t xml:space="preserve"/>
      </w:r>
    </w:p>
    <w:p>
      <w:pPr>
        <w:pBdr>
          <w:bottom w:val="single" w:color="C9D6D9" w:sz="6" w:space="6"/>
        </w:pBdr>
        <w:spacing w:after="160" w:before="320"/>
      </w:pPr>
      <w:r>
        <w:rPr>
          <w:rFonts w:ascii="Calibri" w:cs="Calibri" w:eastAsia="Calibri" w:hAnsi="Calibri"/>
          <w:b/>
          <w:bCs/>
          <w:color w:val="0F4C5C"/>
          <w:sz w:val="27"/>
          <w:szCs w:val="27"/>
        </w:rPr>
        <w:t xml:space="preserve">13. What this means for the option strike price</w:t>
      </w:r>
    </w:p>
    <w:p>
      <w:pPr>
        <w:spacing w:after="140" w:line="276"/>
      </w:pPr>
      <w:r>
        <w:rPr>
          <w:rFonts w:ascii="Calibri" w:cs="Calibri" w:eastAsia="Calibri" w:hAnsi="Calibri"/>
          <w:color w:val="222629"/>
          <w:sz w:val="21"/>
          <w:szCs w:val="21"/>
        </w:rPr>
        <w:t xml:space="preserve">A lower defensible valuation is good news if you are receiving options, because the strike price under the start-up option scheme must be at least market value at the date of grant, and a lower market value means a lower strike and a larger eventual gain.</w:t>
      </w:r>
    </w:p>
    <w:p>
      <w:pPr>
        <w:spacing w:after="140" w:line="276"/>
      </w:pPr>
      <w:r>
        <w:rPr>
          <w:rFonts w:ascii="Calibri" w:cs="Calibri" w:eastAsia="Calibri" w:hAnsi="Calibri"/>
          <w:color w:val="222629"/>
          <w:sz w:val="21"/>
          <w:szCs w:val="21"/>
        </w:rPr>
        <w:t xml:space="preserve">But that is not a licence to argue the number down. The hierarchy of evidence is unchanged. If the actual subscription price paid in September 2025 is available — and it is, in SonoFit's accounts and share issue documentation — an arm's-length price agreed with a real third-party investor beats any model, including this one. Skatteetaten would weigh it the same way.</w:t>
      </w:r>
    </w:p>
    <w:p>
      <w:pPr>
        <w:spacing w:after="140" w:line="276"/>
      </w:pPr>
      <w:r>
        <w:rPr>
          <w:rFonts w:ascii="Calibri" w:cs="Calibri" w:eastAsia="Calibri" w:hAnsi="Calibri"/>
          <w:color w:val="222629"/>
          <w:sz w:val="21"/>
          <w:szCs w:val="21"/>
        </w:rPr>
        <w:t xml:space="preserve">What this paper does is tell you what to expect when you retrieve that price, and what to do in each case.</w:t>
      </w:r>
    </w:p>
    <w:p>
      <w:pPr>
        <w:spacing w:after="60"/>
      </w:pPr>
      <w:r>
        <w:rPr>
          <w:sz w:val="2"/>
          <w:szCs w:val="2"/>
        </w:rPr>
        <w:t xml:space="preserve"/>
      </w:r>
    </w:p>
    <w:tbl>
      <w:tblPr>
        <w:tblW w:type="dxa" w:w="9360"/>
        <w:tblBorders>
          <w:top w:val="single" w:color="C9D6D9" w:sz="2"/>
          <w:left w:val="none" w:color="FFFFFF" w:sz="0"/>
          <w:bottom w:val="single" w:color="C9D6D9" w:sz="2"/>
          <w:right w:val="none" w:color="FFFFFF" w:sz="0"/>
          <w:insideH w:val="single" w:color="C9D6D9" w:sz="2"/>
          <w:insideV w:val="none" w:color="FFFFFF" w:sz="0"/>
        </w:tblBorders>
      </w:tblPr>
      <w:tblGrid>
        <w:gridCol w:w="3300"/>
        <w:gridCol w:w="6060"/>
      </w:tblGrid>
      <w:tr>
        <w:trPr>
          <w:cantSplit/>
          <w:tblHeader/>
        </w:trPr>
        <w:tc>
          <w:tcPr>
            <w:tcW w:type="dxa" w:w="330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If the actual September 2025 raise was</w:t>
            </w:r>
          </w:p>
        </w:tc>
        <w:tc>
          <w:tcPr>
            <w:tcW w:type="dxa" w:w="6060"/>
            <w:shd w:fill="0F4C5C"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Then</w:t>
            </w:r>
          </w:p>
        </w:tc>
      </w:tr>
      <w:tr>
        <w:trPr>
          <w:cantSplit/>
          <w:tblHeader w:val="false"/>
        </w:trPr>
        <w:tc>
          <w:tcPr>
            <w:tcW w:type="dxa" w:w="33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Around NOK 4 m, implying a NOK 27 m post-money</w:t>
            </w:r>
          </w:p>
        </w:tc>
        <w:tc>
          <w:tcPr>
            <w:tcW w:type="dxa" w:w="60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The round price and this independent build agree. A strike in the region of NOK 230–280 per share is well supported from two directions, which is the strongest position you can be in.</w:t>
            </w:r>
          </w:p>
        </w:tc>
      </w:tr>
      <w:tr>
        <w:trPr>
          <w:cantSplit/>
          <w:tblHeader w:val="false"/>
        </w:trPr>
        <w:tc>
          <w:tcPr>
            <w:tcW w:type="dxa" w:w="330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Around NOK 6 m, implying a NOK 40 m post-money</w:t>
            </w:r>
          </w:p>
        </w:tc>
        <w:tc>
          <w:tcPr>
            <w:tcW w:type="dxa" w:w="6060"/>
            <w:shd w:fill="EDF3F4"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Use the actual round price. You cannot argue below an arm's-length price you can see, and attempting to would invite exactly the scrutiny you want to avoid.</w:t>
            </w:r>
          </w:p>
        </w:tc>
      </w:tr>
      <w:tr>
        <w:trPr>
          <w:cantSplit/>
          <w:tblHeader w:val="false"/>
        </w:trPr>
        <w:tc>
          <w:tcPr>
            <w:tcW w:type="dxa" w:w="330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Materially above NOK 6 m</w:t>
            </w:r>
          </w:p>
        </w:tc>
        <w:tc>
          <w:tcPr>
            <w:tcW w:type="dxa" w:w="6060"/>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22629"/>
                <w:sz w:val="19"/>
                <w:szCs w:val="19"/>
              </w:rPr>
              <w:t xml:space="preserve">Something in the public record is being misread — most likely an option pool, a convertible instrument or a share class difference. Resolve it before granting.</w:t>
            </w:r>
          </w:p>
        </w:tc>
      </w:tr>
    </w:tbl>
    <w:p>
      <w:pPr>
        <w:spacing w:after="140"/>
      </w:pPr>
      <w:r>
        <w:rPr>
          <w:sz w:val="2"/>
          <w:szCs w:val="2"/>
        </w:rPr>
        <w:t xml:space="preserve"/>
      </w:r>
    </w:p>
    <w:p>
      <w:pPr>
        <w:spacing w:after="140" w:line="276"/>
      </w:pPr>
      <w:r>
        <w:rPr>
          <w:rFonts w:ascii="Calibri" w:cs="Calibri" w:eastAsia="Calibri" w:hAnsi="Calibri"/>
          <w:color w:val="222629"/>
          <w:sz w:val="21"/>
          <w:szCs w:val="21"/>
        </w:rPr>
        <w:t xml:space="preserve">One timing point carries over from the companion paper and has become more pressing. The September 2025 round is now roughly ten and a half months old. Beyond twelve months the argument that it still represents current market value weakens considerably, and every milestone in the meantime — in-house transducers in January, revised prototypes in April, the advisory board in May — makes it harder to claim nothing has changed. If options are going to be granted at the last round price, sooner is materially easier to defend than later.</w:t>
      </w:r>
    </w:p>
    <w:p>
      <w:pPr>
        <w:pBdr>
          <w:bottom w:val="single" w:color="C9D6D9" w:sz="6" w:space="6"/>
        </w:pBdr>
        <w:spacing w:after="160" w:before="320"/>
      </w:pPr>
      <w:r>
        <w:rPr>
          <w:rFonts w:ascii="Calibri" w:cs="Calibri" w:eastAsia="Calibri" w:hAnsi="Calibri"/>
          <w:b/>
          <w:bCs/>
          <w:color w:val="0F4C5C"/>
          <w:sz w:val="27"/>
          <w:szCs w:val="27"/>
        </w:rPr>
        <w:t xml:space="preserve">Basis of preparation and limitations</w:t>
      </w:r>
    </w:p>
    <w:p>
      <w:pPr>
        <w:spacing w:after="140" w:line="276"/>
      </w:pPr>
      <w:r>
        <w:rPr>
          <w:rFonts w:ascii="Calibri" w:cs="Calibri" w:eastAsia="Calibri" w:hAnsi="Calibri"/>
          <w:color w:val="222629"/>
          <w:sz w:val="21"/>
          <w:szCs w:val="21"/>
        </w:rPr>
        <w:t xml:space="preserve">This paper was prepared on 8 August 2026 from the Brønnøysund register extract dated 2 August 2026, the SonoFit website, published market research and public reporting on comparable companies. SonoFit AS's own financial statements were not available and have not been reviewed. The annual accounts supplied for this engagement were those of FriggTec AS, the parent, not of SonoFit AS.</w:t>
      </w:r>
    </w:p>
    <w:p>
      <w:pPr>
        <w:spacing w:after="140" w:line="276"/>
      </w:pPr>
      <w:r>
        <w:rPr>
          <w:rFonts w:ascii="Calibri" w:cs="Calibri" w:eastAsia="Calibri" w:hAnsi="Calibri"/>
          <w:color w:val="222629"/>
          <w:sz w:val="21"/>
          <w:szCs w:val="21"/>
        </w:rPr>
        <w:t xml:space="preserve">Every method used here is a heuristic. The Berkus, Scorecard and Risk Factor Summation methods are structured judgement, not measurement, and different reasonable people would score them differently. The VC method is dominated by a single low-probability scenario and is correspondingly unstable. The comparable transactions are few and imperfect. Market size figures are drawn from commercial research and vary materially by definition and provider.</w:t>
      </w:r>
    </w:p>
    <w:p>
      <w:pPr>
        <w:spacing w:after="140" w:line="276"/>
      </w:pPr>
      <w:r>
        <w:rPr>
          <w:rFonts w:ascii="Calibri" w:cs="Calibri" w:eastAsia="Calibri" w:hAnsi="Calibri"/>
          <w:color w:val="222629"/>
          <w:sz w:val="21"/>
          <w:szCs w:val="21"/>
        </w:rPr>
        <w:t xml:space="preserve">The estimate assumes 117 648 ordinary shares of a single class with no outstanding options, warrants, convertible loans or liquidation preferences. None of these would be visible in the public record, and any of them would change the per-share figures. It also assumes the patent application proceeds and that no material litigation, key-person departure or funding event has occurred since 2 August 2026.</w:t>
      </w:r>
    </w:p>
    <w:p>
      <w:pPr>
        <w:spacing w:after="140" w:line="276"/>
      </w:pPr>
      <w:r>
        <w:rPr>
          <w:rFonts w:ascii="Calibri" w:cs="Calibri" w:eastAsia="Calibri" w:hAnsi="Calibri"/>
          <w:color w:val="222629"/>
          <w:sz w:val="21"/>
          <w:szCs w:val="21"/>
        </w:rPr>
        <w:t xml:space="preserve">I am not a financial adviser, a registered valuer or a tax lawyer. This is a working paper for your own decision-making. Before it is used in a tax return, an option agreement or a discussion with the company, it should be reviewed by SonoFit's accountant and, for the option arrangements, by a Norwegian tax adviser — and it should be superseded entirely by SonoFit's own 2025 accounts and the actual September 2025 subscription price as soon as those are in hand.</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9" w:sz="4" w:space="8"/>
      </w:pBdr>
      <w:spacing w:after="200"/>
      <w:jc w:val="right"/>
    </w:pPr>
    <w:r>
      <w:rPr>
        <w:rFonts w:ascii="Calibri" w:cs="Calibri" w:eastAsia="Calibri" w:hAnsi="Calibri"/>
        <w:color w:val="5A6068"/>
        <w:sz w:val="16"/>
        <w:szCs w:val="16"/>
      </w:rPr>
      <w:t xml:space="preserve">SonoFit AS — Independent Valuation (Clean-Room)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2026-08-08T17:53:36.452Z</dcterms:created>
  <dcterms:modified xsi:type="dcterms:W3CDTF">2026-08-08T17:53:36.452Z</dcterms:modified>
</cp:coreProperties>
</file>

<file path=docProps/custom.xml><?xml version="1.0" encoding="utf-8"?>
<Properties xmlns="http://schemas.openxmlformats.org/officeDocument/2006/custom-properties" xmlns:vt="http://schemas.openxmlformats.org/officeDocument/2006/docPropsVTypes"/>
</file>