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B7F8C"/>
          <w:sz w:val="18"/>
          <w:szCs w:val="18"/>
        </w:rPr>
        <w:t xml:space="preserve">V A L U A T I O N   W O R K I N G   P A P E R</w:t>
      </w:r>
    </w:p>
    <w:p>
      <w:pPr>
        <w:spacing w:after="80"/>
      </w:pPr>
      <w:r>
        <w:rPr>
          <w:rFonts w:ascii="Calibri" w:cs="Calibri" w:eastAsia="Calibri" w:hAnsi="Calibri"/>
          <w:b/>
          <w:bCs/>
          <w:color w:val="0F4C5C"/>
          <w:sz w:val="44"/>
          <w:szCs w:val="44"/>
        </w:rPr>
        <w:t xml:space="preserve">SonoFit AS</w:t>
      </w:r>
    </w:p>
    <w:p>
      <w:pPr>
        <w:pBdr>
          <w:bottom w:val="single" w:color="1B7F8C" w:sz="12" w:space="8"/>
        </w:pBdr>
        <w:spacing w:after="220"/>
      </w:pPr>
      <w:r>
        <w:rPr>
          <w:rFonts w:ascii="Calibri" w:cs="Calibri" w:eastAsia="Calibri" w:hAnsi="Calibri"/>
          <w:color w:val="5A6068"/>
          <w:sz w:val="24"/>
          <w:szCs w:val="24"/>
        </w:rPr>
        <w:t xml:space="preserve">Indicative equity value, formuesverdi treatment, and option strike price</w:t>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2200"/>
        <w:gridCol w:w="7160"/>
      </w:tblGrid>
      <w:tr>
        <w:trPr>
          <w:tblHeader w:val="false"/>
        </w:trPr>
        <w:tc>
          <w:tcPr>
            <w:tcW w:type="dxa" w:w="22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Prepared for</w:t>
            </w:r>
          </w:p>
        </w:tc>
        <w:tc>
          <w:tcPr>
            <w:tcW w:type="dxa" w:w="71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Tryggve Klevstul-Jensen (tryggve@sonofit.no)</w:t>
            </w:r>
          </w:p>
        </w:tc>
      </w:tr>
      <w:tr>
        <w:trPr>
          <w:tblHeader w:val="false"/>
        </w:trPr>
        <w:tc>
          <w:tcPr>
            <w:tcW w:type="dxa" w:w="22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Subject</w:t>
            </w:r>
          </w:p>
        </w:tc>
        <w:tc>
          <w:tcPr>
            <w:tcW w:type="dxa" w:w="71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SonoFit AS, org. no. 934 341 031, Trondheim</w:t>
            </w:r>
          </w:p>
        </w:tc>
      </w:tr>
      <w:tr>
        <w:trPr>
          <w:tblHeader w:val="false"/>
        </w:trPr>
        <w:tc>
          <w:tcPr>
            <w:tcW w:type="dxa" w:w="22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Purpose</w:t>
            </w:r>
          </w:p>
        </w:tc>
        <w:tc>
          <w:tcPr>
            <w:tcW w:type="dxa" w:w="71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Employee share options and wealth-tax (formuesverdi) valuation</w:t>
            </w:r>
          </w:p>
        </w:tc>
      </w:tr>
      <w:tr>
        <w:trPr>
          <w:tblHeader w:val="false"/>
        </w:trPr>
        <w:tc>
          <w:tcPr>
            <w:tcW w:type="dxa" w:w="22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Date</w:t>
            </w:r>
          </w:p>
        </w:tc>
        <w:tc>
          <w:tcPr>
            <w:tcW w:type="dxa" w:w="71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8 August 2026</w:t>
            </w:r>
          </w:p>
        </w:tc>
      </w:tr>
      <w:tr>
        <w:trPr>
          <w:tblHeader w:val="false"/>
        </w:trPr>
        <w:tc>
          <w:tcPr>
            <w:tcW w:type="dxa" w:w="22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Basis</w:t>
            </w:r>
          </w:p>
        </w:tc>
        <w:tc>
          <w:tcPr>
            <w:tcW w:type="dxa" w:w="71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Brønnøysund registry extract (2 Aug 2026), FriggTec AS 2025 annual accounts, company website and public reporting</w:t>
            </w:r>
          </w:p>
        </w:tc>
      </w:tr>
      <w:tr>
        <w:trPr>
          <w:tblHeader w:val="false"/>
        </w:trPr>
        <w:tc>
          <w:tcPr>
            <w:tcW w:type="dxa" w:w="22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Status</w:t>
            </w:r>
          </w:p>
        </w:tc>
        <w:tc>
          <w:tcPr>
            <w:tcW w:type="dxa" w:w="71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Indicative estimate. Not an audited or independent valuation opinion.</w:t>
            </w:r>
          </w:p>
        </w:tc>
      </w:tr>
    </w:tbl>
    <w:p>
      <w:pPr>
        <w:spacing w:after="220"/>
      </w:pPr>
      <w:r>
        <w:rPr>
          <w:sz w:val="12"/>
          <w:szCs w:val="1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40"/>
              <w:left w:type="dxa" w:w="200"/>
              <w:bottom w:type="dxa" w:w="140"/>
              <w:right w:type="dxa" w:w="200"/>
            </w:tcMar>
          </w:tcPr>
          <w:p>
            <w:pPr>
              <w:spacing w:after="60"/>
            </w:pPr>
            <w:r>
              <w:rPr>
                <w:rFonts w:ascii="Calibri" w:cs="Calibri" w:eastAsia="Calibri" w:hAnsi="Calibri"/>
                <w:b/>
                <w:bCs/>
                <w:color w:val="0F4C5C"/>
                <w:sz w:val="20"/>
                <w:szCs w:val="20"/>
              </w:rPr>
              <w:t xml:space="preserve">The headline</w:t>
            </w:r>
          </w:p>
          <w:p>
            <w:pPr>
              <w:spacing w:after="0" w:line="265"/>
            </w:pPr>
            <w:r>
              <w:rPr>
                <w:rFonts w:ascii="Calibri" w:cs="Calibri" w:eastAsia="Calibri" w:hAnsi="Calibri"/>
                <w:color w:val="222629"/>
                <w:sz w:val="20"/>
                <w:szCs w:val="20"/>
              </w:rPr>
              <w:t xml:space="preserve">Two very different numbers are needed here, and confusing them is the main risk. The company's fair market value is estimated at NOK 30–70 million, with a central figure around NOK 45 million (roughly NOK 380 per share). The company's formuesverdi for wealth-tax purposes is a formula based on tax book values, not market value, and for a company that has expensed all of its R&amp;D it is almost certainly a small fraction of that. Use the first number for option strike pricing and the second for skattemeldingen.</w:t>
            </w:r>
          </w:p>
        </w:tc>
      </w:tr>
    </w:tbl>
    <w:p>
      <w:pPr>
        <w:pStyle w:val="Heading1"/>
        <w:pBdr>
          <w:bottom w:val="single" w:color="C9D6D9" w:sz="8" w:space="6"/>
        </w:pBdr>
        <w:spacing w:after="160" w:before="360"/>
      </w:pPr>
      <w:r>
        <w:rPr>
          <w:rFonts w:ascii="Calibri" w:cs="Calibri" w:eastAsia="Calibri" w:hAnsi="Calibri"/>
          <w:b/>
          <w:bCs/>
          <w:color w:val="0F4C5C"/>
          <w:sz w:val="27"/>
          <w:szCs w:val="27"/>
        </w:rPr>
        <w:t xml:space="preserve">1. Purpose, and one distinction that matters more than the arithmetic</w:t>
      </w:r>
    </w:p>
    <w:p>
      <w:pPr>
        <w:spacing w:after="140" w:line="276"/>
      </w:pPr>
      <w:r>
        <w:rPr>
          <w:rFonts w:ascii="Calibri" w:cs="Calibri" w:eastAsia="Calibri" w:hAnsi="Calibri"/>
          <w:color w:val="222629"/>
          <w:sz w:val="21"/>
          <w:szCs w:val="21"/>
        </w:rPr>
        <w:t xml:space="preserve">You asked for a valuation of SonoFit for the purposes of share options and tax value. Norwegian tax law treats these as two separate questions with two separate answers, and the gap between them is usually large in a company like this one.</w:t>
      </w:r>
    </w:p>
    <w:p>
      <w:pPr>
        <w:spacing w:after="140" w:line="276"/>
      </w:pPr>
      <w:r>
        <w:rPr>
          <w:rFonts w:ascii="Calibri" w:cs="Calibri" w:eastAsia="Calibri" w:hAnsi="Calibri"/>
          <w:color w:val="222629"/>
          <w:sz w:val="21"/>
          <w:szCs w:val="21"/>
        </w:rPr>
        <w:t xml:space="preserve">The </w:t>
      </w:r>
      <w:r>
        <w:rPr>
          <w:rFonts w:ascii="Calibri" w:cs="Calibri" w:eastAsia="Calibri" w:hAnsi="Calibri"/>
          <w:b/>
          <w:bCs/>
          <w:color w:val="222629"/>
          <w:sz w:val="21"/>
          <w:szCs w:val="21"/>
        </w:rPr>
        <w:t xml:space="preserve">formuesverdi</w:t>
      </w:r>
      <w:r>
        <w:rPr>
          <w:rFonts w:ascii="Calibri" w:cs="Calibri" w:eastAsia="Calibri" w:hAnsi="Calibri"/>
          <w:color w:val="222629"/>
          <w:sz w:val="21"/>
          <w:szCs w:val="21"/>
        </w:rPr>
        <w:t xml:space="preserve"> — the value entered on a personal tax return for net wealth tax — is not a market valuation at all. For an unlisted Norwegian AS it is a mechanical calculation: the shareholder's proportional share of the company's total </w:t>
      </w:r>
      <w:r>
        <w:rPr>
          <w:rFonts w:ascii="Calibri" w:cs="Calibri" w:eastAsia="Calibri" w:hAnsi="Calibri"/>
          <w:i/>
          <w:iCs/>
          <w:color w:val="222629"/>
          <w:sz w:val="21"/>
          <w:szCs w:val="21"/>
        </w:rPr>
        <w:t xml:space="preserve">skattemessige formuesverdi</w:t>
      </w:r>
      <w:r>
        <w:rPr>
          <w:rFonts w:ascii="Calibri" w:cs="Calibri" w:eastAsia="Calibri" w:hAnsi="Calibri"/>
          <w:color w:val="222629"/>
          <w:sz w:val="21"/>
          <w:szCs w:val="21"/>
        </w:rPr>
        <w:t xml:space="preserve">, meaning the tax book value of its assets less its debt, under skatteloven § 4-12 (2). Nobody negotiates it and nobody appraises it. For a research-stage company that expenses its development costs as it goes, this number tends to be startlingly low, because the value that has been created sits in know-how, a patent application and a trained team, none of which appear on a tax balance sheet.</w:t>
      </w:r>
    </w:p>
    <w:p>
      <w:pPr>
        <w:spacing w:after="140" w:line="276"/>
      </w:pPr>
      <w:r>
        <w:rPr>
          <w:rFonts w:ascii="Calibri" w:cs="Calibri" w:eastAsia="Calibri" w:hAnsi="Calibri"/>
          <w:color w:val="222629"/>
          <w:sz w:val="21"/>
          <w:szCs w:val="21"/>
        </w:rPr>
        <w:t xml:space="preserve">The </w:t>
      </w:r>
      <w:r>
        <w:rPr>
          <w:rFonts w:ascii="Calibri" w:cs="Calibri" w:eastAsia="Calibri" w:hAnsi="Calibri"/>
          <w:b/>
          <w:bCs/>
          <w:color w:val="222629"/>
          <w:sz w:val="21"/>
          <w:szCs w:val="21"/>
        </w:rPr>
        <w:t xml:space="preserve">market value</w:t>
      </w:r>
      <w:r>
        <w:rPr>
          <w:rFonts w:ascii="Calibri" w:cs="Calibri" w:eastAsia="Calibri" w:hAnsi="Calibri"/>
          <w:color w:val="222629"/>
          <w:sz w:val="21"/>
          <w:szCs w:val="21"/>
        </w:rPr>
        <w:t xml:space="preserve"> — what matters for setting an option strike price under the startup option scheme, and what an investor would actually pay — is a judgement about future cash flows and comparable transactions. This is the number in the NOK 30–70 million range below.</w:t>
      </w:r>
    </w:p>
    <w:p>
      <w:pPr>
        <w:spacing w:after="140" w:line="276"/>
      </w:pPr>
      <w:r>
        <w:rPr>
          <w:rFonts w:ascii="Calibri" w:cs="Calibri" w:eastAsia="Calibri" w:hAnsi="Calibri"/>
          <w:color w:val="222629"/>
          <w:sz w:val="21"/>
          <w:szCs w:val="21"/>
        </w:rPr>
        <w:t xml:space="preserve">This paper addresses both. It is a working paper based on public information and a set of clearly-labelled assumptions, not an independent valuation opinion. I am not a financial adviser or a tax lawyer, and before anything here is used in a tax return, an option agreement or a shareholder discussion it should be reviewed by SonoFit's accountant and a Norwegian tax adviser. The single most valuable thing you can do to improve on it is set out in section 9.</w:t>
      </w:r>
    </w:p>
    <w:p>
      <w:pPr>
        <w:pStyle w:val="Heading1"/>
        <w:pBdr>
          <w:bottom w:val="single" w:color="C9D6D9" w:sz="8" w:space="6"/>
        </w:pBdr>
        <w:spacing w:after="160" w:before="360"/>
      </w:pPr>
      <w:r>
        <w:rPr>
          <w:rFonts w:ascii="Calibri" w:cs="Calibri" w:eastAsia="Calibri" w:hAnsi="Calibri"/>
          <w:b/>
          <w:bCs/>
          <w:color w:val="0F4C5C"/>
          <w:sz w:val="27"/>
          <w:szCs w:val="27"/>
        </w:rPr>
        <w:t xml:space="preserve">2. What the evidence base actually contains</w:t>
      </w:r>
    </w:p>
    <w:p>
      <w:pPr>
        <w:spacing w:after="140" w:line="276"/>
      </w:pPr>
      <w:r>
        <w:rPr>
          <w:rFonts w:ascii="Calibri" w:cs="Calibri" w:eastAsia="Calibri" w:hAnsi="Calibri"/>
          <w:color w:val="222629"/>
          <w:sz w:val="21"/>
          <w:szCs w:val="21"/>
        </w:rPr>
        <w:t xml:space="preserve">A note on the documents provided, because it changes what can be concluded. The annual accounts you supplied are for FriggTec AS, org. no. 934 001 664 — the parent holding company — and not for SonoFit AS, org. no. 934 341 031. FriggTec is an empty holding vehicle. Its entire 2025 accounts are as follows.</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900"/>
        <w:gridCol w:w="1800"/>
        <w:gridCol w:w="1800"/>
        <w:gridCol w:w="1860"/>
      </w:tblGrid>
      <w:tr>
        <w:trPr>
          <w:tblHeader/>
        </w:trPr>
        <w:tc>
          <w:tcPr>
            <w:tcW w:type="dxa" w:w="39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FriggTec AS (parent) — NOK</w:t>
            </w:r>
          </w:p>
        </w:tc>
        <w:tc>
          <w:tcPr>
            <w:tcW w:type="dxa" w:w="180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2025</w:t>
            </w:r>
          </w:p>
        </w:tc>
        <w:tc>
          <w:tcPr>
            <w:tcW w:type="dxa" w:w="180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2024</w:t>
            </w:r>
          </w:p>
        </w:tc>
        <w:tc>
          <w:tcPr>
            <w:tcW w:type="dxa" w:w="186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Comment</w:t>
            </w:r>
          </w:p>
        </w:tc>
      </w:tr>
      <w:tr>
        <w:trPr>
          <w:tblHeader w:val="false"/>
        </w:trPr>
        <w:tc>
          <w:tcPr>
            <w:tcW w:type="dxa" w:w="3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Operating income</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50 000</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50 000</w:t>
            </w:r>
          </w:p>
        </w:tc>
        <w:tc>
          <w:tcPr>
            <w:tcW w:type="dxa" w:w="1860"/>
            <w:tcMar>
              <w:top w:type="dxa" w:w="70"/>
              <w:left w:type="dxa" w:w="110"/>
              <w:bottom w:type="dxa" w:w="70"/>
              <w:right w:type="dxa" w:w="110"/>
            </w:tcMar>
            <w:vAlign w:val="center"/>
          </w:tcPr>
          <w:p>
            <w:pPr>
              <w:spacing w:after="0" w:line="250"/>
              <w:jc w:val="right"/>
            </w:pPr>
            <w:r>
              <w:rPr>
                <w:rFonts w:ascii="Calibri" w:cs="Calibri" w:eastAsia="Calibri" w:hAnsi="Calibri"/>
                <w:i/>
                <w:iCs/>
                <w:color w:val="222629"/>
                <w:sz w:val="19"/>
                <w:szCs w:val="19"/>
              </w:rPr>
              <w:t xml:space="preserve">Management fee</w:t>
            </w:r>
          </w:p>
        </w:tc>
      </w:tr>
      <w:tr>
        <w:trPr>
          <w:tblHeader w:val="false"/>
        </w:trPr>
        <w:tc>
          <w:tcPr>
            <w:tcW w:type="dxa" w:w="3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Operating costs</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29 781</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102 805</w:t>
            </w:r>
          </w:p>
        </w:tc>
        <w:tc>
          <w:tcPr>
            <w:tcW w:type="dxa" w:w="18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r>
        <w:trPr>
          <w:tblHeader w:val="false"/>
        </w:trPr>
        <w:tc>
          <w:tcPr>
            <w:tcW w:type="dxa" w:w="3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Profit for the year</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20 219</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-52 805</w:t>
            </w:r>
          </w:p>
        </w:tc>
        <w:tc>
          <w:tcPr>
            <w:tcW w:type="dxa" w:w="18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r>
        <w:trPr>
          <w:tblHeader w:val="false"/>
        </w:trPr>
        <w:tc>
          <w:tcPr>
            <w:tcW w:type="dxa" w:w="3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Investment in subsidiary</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100 000</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100 000</w:t>
            </w:r>
          </w:p>
        </w:tc>
        <w:tc>
          <w:tcPr>
            <w:tcW w:type="dxa" w:w="18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i/>
                <w:iCs/>
                <w:color w:val="222629"/>
                <w:sz w:val="19"/>
                <w:szCs w:val="19"/>
              </w:rPr>
              <w:t xml:space="preserve">At cost, unchanged</w:t>
            </w:r>
          </w:p>
        </w:tc>
      </w:tr>
      <w:tr>
        <w:trPr>
          <w:tblHeader w:val="false"/>
        </w:trPr>
        <w:tc>
          <w:tcPr>
            <w:tcW w:type="dxa" w:w="3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Cash</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1 812</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46 593</w:t>
            </w:r>
          </w:p>
        </w:tc>
        <w:tc>
          <w:tcPr>
            <w:tcW w:type="dxa" w:w="18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r>
        <w:trPr>
          <w:tblHeader w:val="false"/>
        </w:trPr>
        <w:tc>
          <w:tcPr>
            <w:tcW w:type="dxa" w:w="3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Total assets</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101 812</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146 593</w:t>
            </w:r>
          </w:p>
        </w:tc>
        <w:tc>
          <w:tcPr>
            <w:tcW w:type="dxa" w:w="18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r>
        <w:trPr>
          <w:tblHeader w:val="false"/>
        </w:trPr>
        <w:tc>
          <w:tcPr>
            <w:tcW w:type="dxa" w:w="3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Total equity</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96 812</w:t>
            </w:r>
          </w:p>
        </w:tc>
        <w:tc>
          <w:tcPr>
            <w:tcW w:type="dxa" w:w="18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-28 590</w:t>
            </w:r>
          </w:p>
        </w:tc>
        <w:tc>
          <w:tcPr>
            <w:tcW w:type="dxa" w:w="18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r>
        <w:trPr>
          <w:tblHeader w:val="false"/>
        </w:trPr>
        <w:tc>
          <w:tcPr>
            <w:tcW w:type="dxa" w:w="3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Employees (årsverk)</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0</w:t>
            </w:r>
          </w:p>
        </w:tc>
        <w:tc>
          <w:tcPr>
            <w:tcW w:type="dxa" w:w="18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0</w:t>
            </w:r>
          </w:p>
        </w:tc>
        <w:tc>
          <w:tcPr>
            <w:tcW w:type="dxa" w:w="18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This tells us essentially nothing about SonoFit's operations. It does, however, contain one genuinely useful fact, discussed in the next section: FriggTec carries its shareholding in the subsidiary at cost of NOK 100 000, and that figure did not move between 2024 and 2025.</w:t>
      </w:r>
    </w:p>
    <w:p>
      <w:pPr>
        <w:spacing w:after="140" w:line="276"/>
      </w:pPr>
      <w:r>
        <w:rPr>
          <w:rFonts w:ascii="Calibri" w:cs="Calibri" w:eastAsia="Calibri" w:hAnsi="Calibri"/>
          <w:color w:val="222629"/>
          <w:sz w:val="21"/>
          <w:szCs w:val="21"/>
        </w:rPr>
        <w:t xml:space="preserve">SonoFit AS has filed its own 2025 annual accounts with Brønnøysund, and those accounts — showing its revenue, cost base, cash position, share premium and equity — are the missing piece. Working without them, as agreed, means the estimate below rests on inference from the registry, the company's own public communications and cost reconstruction, and the resulting range is correspondingly wide.</w:t>
      </w:r>
    </w:p>
    <w:p>
      <w:pPr>
        <w:pStyle w:val="Heading2"/>
        <w:spacing w:after="110" w:before="260"/>
      </w:pPr>
      <w:r>
        <w:rPr>
          <w:rFonts w:ascii="Calibri" w:cs="Calibri" w:eastAsia="Calibri" w:hAnsi="Calibri"/>
          <w:b/>
          <w:bCs/>
          <w:color w:val="1B7F8C"/>
          <w:sz w:val="22"/>
          <w:szCs w:val="22"/>
        </w:rPr>
        <w:t xml:space="preserve">Company snapshot</w:t>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000"/>
        <w:gridCol w:w="6360"/>
      </w:tblGrid>
      <w:tr>
        <w:trPr>
          <w:tblHeader/>
        </w:trPr>
        <w:tc>
          <w:tcPr>
            <w:tcW w:type="dxa" w:w="30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Item</w:t>
            </w:r>
          </w:p>
        </w:tc>
        <w:tc>
          <w:tcPr>
            <w:tcW w:type="dxa" w:w="636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Position</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Legal entity</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SonoFit AS, org. no. 934 341 031</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Incorporated / registered</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8 October 2024 / 24 October 2024</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Registered office</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Schultz gate 1, 7013 Trondheim</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Industry code</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26.510 Manufacture of measuring, testing and navigation instruments</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Stated purpose</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Development, production and sale of measurement equipment for training</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Share capital</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NOK 117 648, being 117 648 shares of NOK 1 (registered 22 September 2025)</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Employees</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9 (as at 10 July 2026)</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Audit</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Accounts are not subject to audit</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VAT register</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Entered 20 October 2025</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Group position</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Subsidiary within a group; parent is FriggTec AS</w:t>
            </w:r>
          </w:p>
        </w:tc>
      </w:tr>
      <w:tr>
        <w:trPr>
          <w:tblHeader w:val="false"/>
        </w:trPr>
        <w:tc>
          <w:tcPr>
            <w:tcW w:type="dxa" w:w="3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Management</w:t>
            </w:r>
          </w:p>
        </w:tc>
        <w:tc>
          <w:tcPr>
            <w:tcW w:type="dxa" w:w="6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Sigmund Frigstad — CEO and chair; Terje Frigstad — board member</w:t>
            </w:r>
          </w:p>
        </w:tc>
      </w:tr>
      <w:tr>
        <w:trPr>
          <w:tblHeader w:val="false"/>
        </w:trPr>
        <w:tc>
          <w:tcPr>
            <w:tcW w:type="dxa" w:w="3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Security granted</w:t>
            </w:r>
          </w:p>
        </w:tc>
        <w:tc>
          <w:tcPr>
            <w:tcW w:type="dxa" w:w="6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Three DNB pledges registered 19 June 2026 over receivables (factoring), inventory and operating equipment, NOK 4 000 000 each</w:t>
            </w:r>
          </w:p>
        </w:tc>
      </w:tr>
    </w:tbl>
    <w:p>
      <w:pPr>
        <w:pStyle w:val="Heading1"/>
        <w:pBdr>
          <w:bottom w:val="single" w:color="C9D6D9" w:sz="8" w:space="6"/>
        </w:pBdr>
        <w:spacing w:after="160" w:before="360"/>
      </w:pPr>
      <w:r>
        <w:rPr>
          <w:rFonts w:ascii="Calibri" w:cs="Calibri" w:eastAsia="Calibri" w:hAnsi="Calibri"/>
          <w:b/>
          <w:bCs/>
          <w:color w:val="0F4C5C"/>
          <w:sz w:val="27"/>
          <w:szCs w:val="27"/>
        </w:rPr>
        <w:t xml:space="preserve">3. The one hard valuation datapoint in the file</w:t>
      </w:r>
    </w:p>
    <w:p>
      <w:pPr>
        <w:spacing w:after="140" w:line="276"/>
      </w:pPr>
      <w:r>
        <w:rPr>
          <w:rFonts w:ascii="Calibri" w:cs="Calibri" w:eastAsia="Calibri" w:hAnsi="Calibri"/>
          <w:color w:val="222629"/>
          <w:sz w:val="21"/>
          <w:szCs w:val="21"/>
        </w:rPr>
        <w:t xml:space="preserve">Buried in the registry extract is the most informative number available. Share capital stands at NOK 117 648 across 117 648 shares, registered on 22 September 2025. FriggTec's accounts show it paid NOK 100 000 for its subsidiary shareholding at formation and did not add to that investment in 2025.</w:t>
      </w:r>
    </w:p>
    <w:p>
      <w:pPr>
        <w:spacing w:after="140" w:line="276"/>
      </w:pPr>
      <w:r>
        <w:rPr>
          <w:rFonts w:ascii="Calibri" w:cs="Calibri" w:eastAsia="Calibri" w:hAnsi="Calibri"/>
          <w:color w:val="222629"/>
          <w:sz w:val="21"/>
          <w:szCs w:val="21"/>
        </w:rPr>
        <w:t xml:space="preserve">The reading that follows is that SonoFit was formed with 100 000 shares of NOK 1 held by FriggTec, and that on 22 September 2025 a further 17 648 shares were issued to someone else. That share count is not arbitrary:</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4200"/>
        <w:gridCol w:w="2600"/>
        <w:gridCol w:w="2560"/>
      </w:tblGrid>
      <w:tr>
        <w:trPr>
          <w:tblHeader/>
        </w:trPr>
        <w:tc>
          <w:tcPr>
            <w:tcW w:type="dxa" w:w="42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Cap table (post 22 September 2025)</w:t>
            </w:r>
          </w:p>
        </w:tc>
        <w:tc>
          <w:tcPr>
            <w:tcW w:type="dxa" w:w="260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Shares</w:t>
            </w:r>
          </w:p>
        </w:tc>
        <w:tc>
          <w:tcPr>
            <w:tcW w:type="dxa" w:w="256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Holding</w:t>
            </w:r>
          </w:p>
        </w:tc>
      </w:tr>
      <w:tr>
        <w:trPr>
          <w:tblHeader w:val="false"/>
        </w:trPr>
        <w:tc>
          <w:tcPr>
            <w:tcW w:type="dxa" w:w="42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FriggTec AS (founder vehicle)</w:t>
            </w:r>
          </w:p>
        </w:tc>
        <w:tc>
          <w:tcPr>
            <w:tcW w:type="dxa" w:w="26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100 000</w:t>
            </w:r>
          </w:p>
        </w:tc>
        <w:tc>
          <w:tcPr>
            <w:tcW w:type="dxa" w:w="25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84.999 %</w:t>
            </w:r>
          </w:p>
        </w:tc>
      </w:tr>
      <w:tr>
        <w:trPr>
          <w:tblHeader w:val="false"/>
        </w:trPr>
        <w:tc>
          <w:tcPr>
            <w:tcW w:type="dxa" w:w="42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New capital, September 2025</w:t>
            </w:r>
          </w:p>
        </w:tc>
        <w:tc>
          <w:tcPr>
            <w:tcW w:type="dxa" w:w="26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17 648</w:t>
            </w:r>
          </w:p>
        </w:tc>
        <w:tc>
          <w:tcPr>
            <w:tcW w:type="dxa" w:w="25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15.001 %</w:t>
            </w:r>
          </w:p>
        </w:tc>
      </w:tr>
      <w:tr>
        <w:trPr>
          <w:tblHeader w:val="false"/>
        </w:trPr>
        <w:tc>
          <w:tcPr>
            <w:tcW w:type="dxa" w:w="42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Total</w:t>
            </w:r>
          </w:p>
        </w:tc>
        <w:tc>
          <w:tcPr>
            <w:tcW w:type="dxa" w:w="260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117 648</w:t>
            </w:r>
          </w:p>
        </w:tc>
        <w:tc>
          <w:tcPr>
            <w:tcW w:type="dxa" w:w="256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100.000 %</w:t>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Issuing exactly 17 648 new shares against a base of 100 000 produces a post-money holding of 15.0007 per cent. That is not a coincidence — 100 000 × 15/85 = 17 647.06, rounded up to the next whole share. The round was negotiated as a clean fifteen per cent of the company, which is a very typical Norwegian pre-seed or seed structure.</w:t>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40"/>
              <w:left w:type="dxa" w:w="200"/>
              <w:bottom w:type="dxa" w:w="140"/>
              <w:right w:type="dxa" w:w="200"/>
            </w:tcMar>
          </w:tcPr>
          <w:p>
            <w:pPr>
              <w:spacing w:after="60"/>
            </w:pPr>
            <w:r>
              <w:rPr>
                <w:rFonts w:ascii="Calibri" w:cs="Calibri" w:eastAsia="Calibri" w:hAnsi="Calibri"/>
                <w:b/>
                <w:bCs/>
                <w:color w:val="0F4C5C"/>
                <w:sz w:val="20"/>
                <w:szCs w:val="20"/>
              </w:rPr>
              <w:t xml:space="preserve">What this does and does not tell us</w:t>
            </w:r>
          </w:p>
          <w:p>
            <w:pPr>
              <w:spacing w:after="0" w:line="265"/>
            </w:pPr>
            <w:r>
              <w:rPr>
                <w:rFonts w:ascii="Calibri" w:cs="Calibri" w:eastAsia="Calibri" w:hAnsi="Calibri"/>
                <w:color w:val="222629"/>
                <w:sz w:val="20"/>
                <w:szCs w:val="20"/>
              </w:rPr>
              <w:t xml:space="preserve">It fixes the ownership split with near-certainty: outside capital owns 15 per cent and the founder vehicle 85 per cent. It does not fix the price. Because the share count was derived from the ownership target rather than from a price per share, the registry reveals nothing about how much money came in. The subscription amount sits in SonoFit's share premium account (overkurs), which is exactly the line item we do not have.</w:t>
            </w:r>
          </w:p>
        </w:tc>
      </w:tr>
    </w:tbl>
    <w:p>
      <w:pPr>
        <w:spacing w:after="160"/>
      </w:pPr>
      <w:r>
        <w:rPr>
          <w:sz w:val="12"/>
          <w:szCs w:val="12"/>
        </w:rPr>
        <w:t xml:space="preserve"/>
      </w:r>
    </w:p>
    <w:p>
      <w:pPr>
        <w:spacing w:after="140" w:line="276"/>
      </w:pPr>
      <w:r>
        <w:rPr>
          <w:rFonts w:ascii="Calibri" w:cs="Calibri" w:eastAsia="Calibri" w:hAnsi="Calibri"/>
          <w:color w:val="222629"/>
          <w:sz w:val="21"/>
          <w:szCs w:val="21"/>
        </w:rPr>
        <w:t xml:space="preserve">The relationship is nonetheless simple. If the September 2025 investment was X, the post-money valuation was X ÷ 0.15.</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2400"/>
        <w:gridCol w:w="2320"/>
        <w:gridCol w:w="2320"/>
        <w:gridCol w:w="2320"/>
      </w:tblGrid>
      <w:tr>
        <w:trPr>
          <w:tblHeader/>
        </w:trPr>
        <w:tc>
          <w:tcPr>
            <w:tcW w:type="dxa" w:w="24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Money in (NOK)</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Price per share</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Post-money</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Pre-money</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2 000 000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113</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13.3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11.3 m</w:t>
            </w:r>
          </w:p>
        </w:tc>
      </w:tr>
      <w:tr>
        <w:trPr>
          <w:tblHeader w:val="false"/>
        </w:trPr>
        <w:tc>
          <w:tcPr>
            <w:tcW w:type="dxa" w:w="2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3 000 000</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170</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20.0 m</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17.0 m</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4 000 000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227</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26.7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22.7 m</w:t>
            </w:r>
          </w:p>
        </w:tc>
      </w:tr>
      <w:tr>
        <w:trPr>
          <w:tblHeader w:val="false"/>
        </w:trPr>
        <w:tc>
          <w:tcPr>
            <w:tcW w:type="dxa" w:w="2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5 000 000</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283</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33.3 m</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28.3 m</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6 000 000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340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40.0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34.0 m</w:t>
            </w:r>
          </w:p>
        </w:tc>
      </w:tr>
      <w:tr>
        <w:trPr>
          <w:tblHeader w:val="false"/>
        </w:trPr>
        <w:tc>
          <w:tcPr>
            <w:tcW w:type="dxa" w:w="2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7 000 000</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397</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46.7 m</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39.7 m</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8 000 000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453</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53.3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45.3 m</w:t>
            </w:r>
          </w:p>
        </w:tc>
      </w:tr>
      <w:tr>
        <w:trPr>
          <w:tblHeader w:val="false"/>
        </w:trPr>
        <w:tc>
          <w:tcPr>
            <w:tcW w:type="dxa" w:w="2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10 000 000</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567</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66.7 m</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56.7 m</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12 000 000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680</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80.0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68.0 m</w:t>
            </w:r>
          </w:p>
        </w:tc>
      </w:tr>
    </w:tbl>
    <w:p>
      <w:pPr>
        <w:spacing w:after="120"/>
      </w:pPr>
      <w:r>
        <w:rPr>
          <w:sz w:val="12"/>
          <w:szCs w:val="12"/>
        </w:rPr>
        <w:t xml:space="preserve"/>
      </w:r>
    </w:p>
    <w:p>
      <w:pPr>
        <w:spacing w:after="140" w:line="276"/>
      </w:pPr>
      <w:r>
        <w:rPr>
          <w:rFonts w:ascii="Calibri" w:cs="Calibri" w:eastAsia="Calibri" w:hAnsi="Calibri"/>
          <w:i/>
          <w:iCs/>
          <w:color w:val="5A6068"/>
          <w:sz w:val="18"/>
          <w:szCs w:val="18"/>
        </w:rPr>
        <w:t xml:space="preserve">Rows in bold are the range this paper considers most likely, for the reasons in the next section.</w:t>
      </w:r>
    </w:p>
    <w:p>
      <w:pPr>
        <w:pStyle w:val="Heading1"/>
        <w:pBdr>
          <w:bottom w:val="single" w:color="C9D6D9" w:sz="8" w:space="6"/>
        </w:pBdr>
        <w:spacing w:after="160" w:before="360"/>
      </w:pPr>
      <w:r>
        <w:rPr>
          <w:rFonts w:ascii="Calibri" w:cs="Calibri" w:eastAsia="Calibri" w:hAnsi="Calibri"/>
          <w:b/>
          <w:bCs/>
          <w:color w:val="0F4C5C"/>
          <w:sz w:val="27"/>
          <w:szCs w:val="27"/>
        </w:rPr>
        <w:t xml:space="preserve">4. Triangulating the size of the September 2025 round</w:t>
      </w:r>
    </w:p>
    <w:p>
      <w:pPr>
        <w:spacing w:after="140" w:line="276"/>
      </w:pPr>
      <w:r>
        <w:rPr>
          <w:rFonts w:ascii="Calibri" w:cs="Calibri" w:eastAsia="Calibri" w:hAnsi="Calibri"/>
          <w:color w:val="222629"/>
          <w:sz w:val="21"/>
          <w:szCs w:val="21"/>
        </w:rPr>
        <w:t xml:space="preserve">Since the price is not in the registry, it has to be reconstructed from what the company must have spent. The logic is that a company with no disclosed product revenue has to have funded its costs from somewhere, and the identifiable non-equity sources are limited.</w:t>
      </w:r>
    </w:p>
    <w:p>
      <w:pPr>
        <w:pStyle w:val="Heading2"/>
        <w:spacing w:after="110" w:before="260"/>
      </w:pPr>
      <w:r>
        <w:rPr>
          <w:rFonts w:ascii="Calibri" w:cs="Calibri" w:eastAsia="Calibri" w:hAnsi="Calibri"/>
          <w:b/>
          <w:bCs/>
          <w:color w:val="1B7F8C"/>
          <w:sz w:val="22"/>
          <w:szCs w:val="22"/>
        </w:rPr>
        <w:t xml:space="preserve">Estimated cash consumption to date</w:t>
      </w:r>
    </w:p>
    <w:p>
      <w:pPr>
        <w:spacing w:after="140" w:line="276"/>
      </w:pPr>
      <w:r>
        <w:rPr>
          <w:rFonts w:ascii="Calibri" w:cs="Calibri" w:eastAsia="Calibri" w:hAnsi="Calibri"/>
          <w:color w:val="222629"/>
          <w:sz w:val="21"/>
          <w:szCs w:val="21"/>
        </w:rPr>
        <w:t xml:space="preserve">Headcount is the anchor. The registry records nine employees as at 10 July 2026. The team page identifies the CEO, three software engineers (two of them PhDs, one joining in September 2025) and two hardware people working part-time alongside studies. Allowing for part-time roles, the company probably ran at roughly three full-time equivalents through 2025 and six to seven through the first part of 2026.</w:t>
      </w:r>
    </w:p>
    <w:p>
      <w:pPr>
        <w:spacing w:after="140" w:line="276"/>
      </w:pPr>
      <w:r>
        <w:rPr>
          <w:rFonts w:ascii="Calibri" w:cs="Calibri" w:eastAsia="Calibri" w:hAnsi="Calibri"/>
          <w:color w:val="222629"/>
          <w:sz w:val="21"/>
          <w:szCs w:val="21"/>
        </w:rPr>
        <w:t xml:space="preserve">Fully loaded cost for an experienced engineer in Trondheim, including employer's national insurance contribution and pension, runs around NOK 950 000 to 1 200 000 a year. On top of payroll sit the genuinely expensive parts of a hardware programme: the Tangen Engineering design collaboration, custom ultrasound transducer fabrication, prototype electronics, the NTNU study, and patent prosecution.</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400"/>
        <w:gridCol w:w="2000"/>
        <w:gridCol w:w="2000"/>
        <w:gridCol w:w="1960"/>
      </w:tblGrid>
      <w:tr>
        <w:trPr>
          <w:tblHeader/>
        </w:trPr>
        <w:tc>
          <w:tcPr>
            <w:tcW w:type="dxa" w:w="34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Estimated spend (NOK)</w:t>
            </w:r>
          </w:p>
        </w:tc>
        <w:tc>
          <w:tcPr>
            <w:tcW w:type="dxa" w:w="200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Low</w:t>
            </w:r>
          </w:p>
        </w:tc>
        <w:tc>
          <w:tcPr>
            <w:tcW w:type="dxa" w:w="200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Central</w:t>
            </w:r>
          </w:p>
        </w:tc>
        <w:tc>
          <w:tcPr>
            <w:tcW w:type="dxa" w:w="196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High</w:t>
            </w:r>
          </w:p>
        </w:tc>
      </w:tr>
      <w:tr>
        <w:trPr>
          <w:tblHeader w:val="false"/>
        </w:trPr>
        <w:tc>
          <w:tcPr>
            <w:tcW w:type="dxa" w:w="3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Oct–Dec 2024</w:t>
            </w:r>
          </w:p>
        </w:tc>
        <w:tc>
          <w:tcPr>
            <w:tcW w:type="dxa" w:w="20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0.2 m</w:t>
            </w:r>
          </w:p>
        </w:tc>
        <w:tc>
          <w:tcPr>
            <w:tcW w:type="dxa" w:w="20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0.3 m</w:t>
            </w:r>
          </w:p>
        </w:tc>
        <w:tc>
          <w:tcPr>
            <w:tcW w:type="dxa" w:w="19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0.5 m</w:t>
            </w:r>
          </w:p>
        </w:tc>
      </w:tr>
      <w:tr>
        <w:trPr>
          <w:tblHeader w:val="false"/>
        </w:trPr>
        <w:tc>
          <w:tcPr>
            <w:tcW w:type="dxa" w:w="3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2025 full year</w:t>
            </w:r>
          </w:p>
        </w:tc>
        <w:tc>
          <w:tcPr>
            <w:tcW w:type="dxa" w:w="20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3.0 m</w:t>
            </w:r>
          </w:p>
        </w:tc>
        <w:tc>
          <w:tcPr>
            <w:tcW w:type="dxa" w:w="20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4.5 m</w:t>
            </w:r>
          </w:p>
        </w:tc>
        <w:tc>
          <w:tcPr>
            <w:tcW w:type="dxa" w:w="19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6.0 m</w:t>
            </w:r>
          </w:p>
        </w:tc>
      </w:tr>
      <w:tr>
        <w:trPr>
          <w:tblHeader w:val="false"/>
        </w:trPr>
        <w:tc>
          <w:tcPr>
            <w:tcW w:type="dxa" w:w="3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Jan–Aug 2026</w:t>
            </w:r>
          </w:p>
        </w:tc>
        <w:tc>
          <w:tcPr>
            <w:tcW w:type="dxa" w:w="20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4.5 m</w:t>
            </w:r>
          </w:p>
        </w:tc>
        <w:tc>
          <w:tcPr>
            <w:tcW w:type="dxa" w:w="200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6.5 m</w:t>
            </w:r>
          </w:p>
        </w:tc>
        <w:tc>
          <w:tcPr>
            <w:tcW w:type="dxa" w:w="196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8.5 m</w:t>
            </w:r>
          </w:p>
        </w:tc>
      </w:tr>
      <w:tr>
        <w:trPr>
          <w:tblHeader w:val="false"/>
        </w:trPr>
        <w:tc>
          <w:tcPr>
            <w:tcW w:type="dxa" w:w="3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Cumulative to date</w:t>
            </w:r>
          </w:p>
        </w:tc>
        <w:tc>
          <w:tcPr>
            <w:tcW w:type="dxa" w:w="20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7.7 m</w:t>
            </w:r>
          </w:p>
        </w:tc>
        <w:tc>
          <w:tcPr>
            <w:tcW w:type="dxa" w:w="200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11.3 m</w:t>
            </w:r>
          </w:p>
        </w:tc>
        <w:tc>
          <w:tcPr>
            <w:tcW w:type="dxa" w:w="196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15.0 m</w:t>
            </w:r>
          </w:p>
        </w:tc>
      </w:tr>
    </w:tbl>
    <w:p>
      <w:pPr>
        <w:spacing w:after="140"/>
      </w:pPr>
      <w:r>
        <w:rPr>
          <w:sz w:val="12"/>
          <w:szCs w:val="12"/>
        </w:rPr>
        <w:t xml:space="preserve"/>
      </w:r>
    </w:p>
    <w:p>
      <w:pPr>
        <w:pStyle w:val="Heading2"/>
        <w:spacing w:after="110" w:before="260"/>
      </w:pPr>
      <w:r>
        <w:rPr>
          <w:rFonts w:ascii="Calibri" w:cs="Calibri" w:eastAsia="Calibri" w:hAnsi="Calibri"/>
          <w:b/>
          <w:bCs/>
          <w:color w:val="1B7F8C"/>
          <w:sz w:val="22"/>
          <w:szCs w:val="22"/>
        </w:rPr>
        <w:t xml:space="preserve">Where that money came from</w:t>
      </w:r>
    </w:p>
    <w:p>
      <w:pPr>
        <w:spacing w:after="140" w:line="276"/>
      </w:pPr>
      <w:r>
        <w:rPr>
          <w:rFonts w:ascii="Calibri" w:cs="Calibri" w:eastAsia="Calibri" w:hAnsi="Calibri"/>
          <w:color w:val="222629"/>
          <w:sz w:val="21"/>
          <w:szCs w:val="21"/>
        </w:rPr>
        <w:t xml:space="preserve">Four sources are visible. Founding capital contributed NOK 100 000. Innovation Norway awarded a NOK 1 000 000 innovation grant announced on 31 March 2025. DNB took security over receivables, inventory and operating equipment on 19 June 2026, each pledge capped at NOK 4 000 000, which points to a bank facility of up to that order — although the drawn amount is unknown and blanket collateral of this kind is often registered well in advance of use. A company of this profile would also normally claim SkatteFUNN relief on qualifying R&amp;D, worth perhaps NOK 0.5 to 1.5 million a year.</w:t>
      </w:r>
    </w:p>
    <w:p>
      <w:pPr>
        <w:spacing w:after="140" w:line="276"/>
      </w:pPr>
      <w:r>
        <w:rPr>
          <w:rFonts w:ascii="Calibri" w:cs="Calibri" w:eastAsia="Calibri" w:hAnsi="Calibri"/>
          <w:color w:val="222629"/>
          <w:sz w:val="21"/>
          <w:szCs w:val="21"/>
        </w:rPr>
        <w:t xml:space="preserve">Everything else must have come from the September 2025 share issue. Working backwards from the central spend estimate of NOK 11.3 million, and deducting founding capital, the grant, an assumed NOK 2 to 4 million of drawn bank debt and modest SkatteFUNN relief, the equity requirement lands somewhere between NOK 4 and 8 million, with NOK 6 million a reasonable central figure.</w:t>
      </w:r>
    </w:p>
    <w:p>
      <w:pPr>
        <w:spacing w:after="140" w:line="276"/>
      </w:pPr>
      <w:r>
        <w:rPr>
          <w:rFonts w:ascii="Calibri" w:cs="Calibri" w:eastAsia="Calibri" w:hAnsi="Calibri"/>
          <w:color w:val="222629"/>
          <w:sz w:val="21"/>
          <w:szCs w:val="21"/>
        </w:rPr>
        <w:t xml:space="preserve">Two further observations support the middle of that range rather than either extreme. First, no change to share capital has been registered between 22 September 2025 and the extract date of 2 August 2026 — the September round was still the company's most recent priced equity event nearly eleven months later, which argues against a very small round that would have run out. Second, the fact that the company turned to secured bank debt in June 2026 rather than a further equity issue suggests the equity runway was tightening, which argues against a very large one. A convertible loan sitting outside the share register would also fit this pattern and would not show up anywhere in the documents available.</w:t>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40"/>
              <w:left w:type="dxa" w:w="200"/>
              <w:bottom w:type="dxa" w:w="140"/>
              <w:right w:type="dxa" w:w="200"/>
            </w:tcMar>
          </w:tcPr>
          <w:p>
            <w:pPr>
              <w:spacing w:after="60"/>
            </w:pPr>
            <w:r>
              <w:rPr>
                <w:rFonts w:ascii="Calibri" w:cs="Calibri" w:eastAsia="Calibri" w:hAnsi="Calibri"/>
                <w:b/>
                <w:bCs/>
                <w:color w:val="0F4C5C"/>
                <w:sz w:val="20"/>
                <w:szCs w:val="20"/>
              </w:rPr>
              <w:t xml:space="preserve">Working conclusion on the last round</w:t>
            </w:r>
          </w:p>
          <w:p>
            <w:pPr>
              <w:spacing w:after="0" w:line="265"/>
            </w:pPr>
            <w:r>
              <w:rPr>
                <w:rFonts w:ascii="Calibri" w:cs="Calibri" w:eastAsia="Calibri" w:hAnsi="Calibri"/>
                <w:color w:val="222629"/>
                <w:sz w:val="20"/>
                <w:szCs w:val="20"/>
              </w:rPr>
              <w:t xml:space="preserve">A September 2025 issue of roughly NOK 5–7 million for 15 per cent, implying a post-money valuation of approximately NOK 33–47 million and a subscription price somewhere near NOK 280–400 per share. Central case: NOK 6 million at a NOK 40 million post-money, or NOK 340 per share. This is an inference, not a fact, and the actual subscription price is recorded in SonoFit's own accounts.</w:t>
            </w:r>
          </w:p>
        </w:tc>
      </w:tr>
    </w:tbl>
    <w:p>
      <w:pPr>
        <w:pStyle w:val="Heading1"/>
        <w:pBdr>
          <w:bottom w:val="single" w:color="C9D6D9" w:sz="8" w:space="6"/>
        </w:pBdr>
        <w:spacing w:after="160" w:before="360"/>
      </w:pPr>
      <w:r>
        <w:rPr>
          <w:rFonts w:ascii="Calibri" w:cs="Calibri" w:eastAsia="Calibri" w:hAnsi="Calibri"/>
          <w:b/>
          <w:bCs/>
          <w:color w:val="0F4C5C"/>
          <w:sz w:val="27"/>
          <w:szCs w:val="27"/>
        </w:rPr>
        <w:t xml:space="preserve">5. Sanity check against the market</w:t>
      </w:r>
    </w:p>
    <w:p>
      <w:pPr>
        <w:spacing w:after="140" w:line="276"/>
      </w:pPr>
      <w:r>
        <w:rPr>
          <w:rFonts w:ascii="Calibri" w:cs="Calibri" w:eastAsia="Calibri" w:hAnsi="Calibri"/>
          <w:color w:val="222629"/>
          <w:sz w:val="21"/>
          <w:szCs w:val="21"/>
        </w:rPr>
        <w:t xml:space="preserve">An inferred valuation is only useful if it is plausible against comparable transactions, so it is worth asking whether NOK 33–47 million post-money was a sensible price for this company in September 2025.</w:t>
      </w:r>
    </w:p>
    <w:p>
      <w:pPr>
        <w:pStyle w:val="Heading2"/>
        <w:spacing w:after="110" w:before="260"/>
      </w:pPr>
      <w:r>
        <w:rPr>
          <w:rFonts w:ascii="Calibri" w:cs="Calibri" w:eastAsia="Calibri" w:hAnsi="Calibri"/>
          <w:b/>
          <w:bCs/>
          <w:color w:val="1B7F8C"/>
          <w:sz w:val="22"/>
          <w:szCs w:val="22"/>
        </w:rPr>
        <w:t xml:space="preserve">What argues for a valuation at the higher end</w:t>
      </w:r>
    </w:p>
    <w:p>
      <w:pPr>
        <w:spacing w:after="140" w:line="276"/>
      </w:pPr>
      <w:r>
        <w:rPr>
          <w:rFonts w:ascii="Calibri" w:cs="Calibri" w:eastAsia="Calibri" w:hAnsi="Calibri"/>
          <w:color w:val="222629"/>
          <w:sz w:val="21"/>
          <w:szCs w:val="21"/>
        </w:rPr>
        <w:t xml:space="preserve">The founder profile is unusually strong for a pre-seed company. Sigmund Frigstad has a biophysics background and served as General Manager of Engineering at GE Healthcare — which, in ultrasound, means something specific in Trondheim, since the city is where GE's cardiovascular ultrasound business grew out of Vingmed. A founder with that record raising money for an ultrasound sensor company in Trondheim is close to the ideal founder-market fit case, and Norwegian investors price that.</w:t>
      </w:r>
    </w:p>
    <w:p>
      <w:pPr>
        <w:spacing w:after="140" w:line="276"/>
      </w:pPr>
      <w:r>
        <w:rPr>
          <w:rFonts w:ascii="Calibri" w:cs="Calibri" w:eastAsia="Calibri" w:hAnsi="Calibri"/>
          <w:color w:val="222629"/>
          <w:sz w:val="21"/>
          <w:szCs w:val="21"/>
        </w:rPr>
        <w:t xml:space="preserve">The surrounding infrastructure reinforces it: a formal collaboration agreement with NTNU, involvement from CERG, Innovation Norway backing, and two software engineers holding NTNU PhDs in medical ultrasound and deep learning for ultrasound imaging. The company reports completing data collection on 100 athlete datasets in June 2025, meaning there was real validation evidence on the table at the time of the raise rather than only a concept. Sensor technology is described as patent pending.</w:t>
      </w:r>
    </w:p>
    <w:p>
      <w:pPr>
        <w:spacing w:after="140" w:line="276"/>
      </w:pPr>
      <w:r>
        <w:rPr>
          <w:rFonts w:ascii="Calibri" w:cs="Calibri" w:eastAsia="Calibri" w:hAnsi="Calibri"/>
          <w:color w:val="222629"/>
          <w:sz w:val="21"/>
          <w:szCs w:val="21"/>
        </w:rPr>
        <w:t xml:space="preserve">The problem being solved is also genuinely valuable. Lactate threshold testing currently requires finger-prick blood sampling and interrupts training. A continuous, non-invasive, real-time threshold measurement would be a category-defining product in endurance sport, and the Norwegian endurance community — which is where this would launch — is disproportionately influential globally.</w:t>
      </w:r>
    </w:p>
    <w:p>
      <w:pPr>
        <w:pStyle w:val="Heading2"/>
        <w:spacing w:after="110" w:before="260"/>
      </w:pPr>
      <w:r>
        <w:rPr>
          <w:rFonts w:ascii="Calibri" w:cs="Calibri" w:eastAsia="Calibri" w:hAnsi="Calibri"/>
          <w:b/>
          <w:bCs/>
          <w:color w:val="1B7F8C"/>
          <w:sz w:val="22"/>
          <w:szCs w:val="22"/>
        </w:rPr>
        <w:t xml:space="preserve">What argues for restraint</w:t>
      </w:r>
    </w:p>
    <w:p>
      <w:pPr>
        <w:spacing w:after="140" w:line="276"/>
      </w:pPr>
      <w:r>
        <w:rPr>
          <w:rFonts w:ascii="Calibri" w:cs="Calibri" w:eastAsia="Calibri" w:hAnsi="Calibri"/>
          <w:color w:val="222629"/>
          <w:sz w:val="21"/>
          <w:szCs w:val="21"/>
        </w:rPr>
        <w:t xml:space="preserve">The commercial history of this exact category is discouraging. Muscle-oxygen and continuous-lactate wearables have attracted repeated attempts and produced no large winner. Humon and BSX both launched consumer muscle-oxygen sensors and both stopped selling them. Moxy has survived but as a niche product at around USD 1 000, serving a small population of physiologists and serious coaches rather than a mass market. Supersapiens built on Abbott's glucose sensor and struggled commercially. IDRO, a Belgian sweat-lactate entrant, was targeting first sales in early 2025. An investor who has followed this category will discount aggressively, and rightly so — the recurring failure mode is not the physics but the gap between an accurate measurement and a training decision an athlete will pay for annually.</w:t>
      </w:r>
    </w:p>
    <w:p>
      <w:pPr>
        <w:spacing w:after="140" w:line="276"/>
      </w:pPr>
      <w:r>
        <w:rPr>
          <w:rFonts w:ascii="Calibri" w:cs="Calibri" w:eastAsia="Calibri" w:hAnsi="Calibri"/>
          <w:color w:val="222629"/>
          <w:sz w:val="21"/>
          <w:szCs w:val="21"/>
        </w:rPr>
        <w:t xml:space="preserve">Hardware also carries a structural valuation penalty. Deeptech and hardware companies typically raise larger rounds at lower valuations relative to traction than software peers, because the capital intensity is higher, the time to revenue is longer and manufacturing, regulatory and supply chain risk all sit ahead. SonoFit had, as of the September 2025 raise, no product, no disclosed revenue and no launch date.</w:t>
      </w:r>
    </w:p>
    <w:p>
      <w:pPr>
        <w:spacing w:after="140" w:line="276"/>
      </w:pPr>
      <w:r>
        <w:rPr>
          <w:rFonts w:ascii="Calibri" w:cs="Calibri" w:eastAsia="Calibri" w:hAnsi="Calibri"/>
          <w:color w:val="222629"/>
          <w:sz w:val="21"/>
          <w:szCs w:val="21"/>
        </w:rPr>
        <w:t xml:space="preserve">For context, global medians in this period ran at roughly USD 7.7 million pre-money for pre-seed and around USD 16 million for seed, but Norwegian rounds typically price below international medians, and the international figures are dominated by software and AI. A NOK 34 million pre-money (roughly USD 3.3 million) for a Norwegian pre-seed deeptech company with this founder is therefore defensible and sits at the upper end of normal rather than outside it — consistent with, rather than contradicting, the reconstruction in section 4.</w:t>
      </w:r>
    </w:p>
    <w:p>
      <w:pPr>
        <w:pStyle w:val="Heading1"/>
        <w:pBdr>
          <w:bottom w:val="single" w:color="C9D6D9" w:sz="8" w:space="6"/>
        </w:pBdr>
        <w:spacing w:after="160" w:before="360"/>
      </w:pPr>
      <w:r>
        <w:rPr>
          <w:rFonts w:ascii="Calibri" w:cs="Calibri" w:eastAsia="Calibri" w:hAnsi="Calibri"/>
          <w:b/>
          <w:bCs/>
          <w:color w:val="0F4C5C"/>
          <w:sz w:val="27"/>
          <w:szCs w:val="27"/>
        </w:rPr>
        <w:t xml:space="preserve">6. Estimated value today</w:t>
      </w:r>
    </w:p>
    <w:p>
      <w:pPr>
        <w:spacing w:after="140" w:line="276"/>
      </w:pPr>
      <w:r>
        <w:rPr>
          <w:rFonts w:ascii="Calibri" w:cs="Calibri" w:eastAsia="Calibri" w:hAnsi="Calibri"/>
          <w:color w:val="222629"/>
          <w:sz w:val="21"/>
          <w:szCs w:val="21"/>
        </w:rPr>
        <w:t xml:space="preserve">Roughly eleven months have passed since the last priced round. Several things have gone right in that period. The company received its first custom ultrasound transducers built to its own design in January 2026 and obtained high-quality Doppler spectra from them, which moves the core sensing technology from bought-in components to proprietary hardware. Improved prototypes arrived in April 2026 with noise sources eliminated, batteries integrated and usability improved. National press coverage followed in April via Adresseavisen, Aftenposten and Fedrelandsvennen. In May 2026 the company added a genuinely heavyweight advisory board — Helge Aasen, CEO of Elkem ASA and chair of Borregaard ASA, alongside Robert Svendsen and the sports director of the Norwegian Triathlon Federation. Headcount has roughly doubled. Public interest from an Ironman world champion suggests the athlete pull is real.</w:t>
      </w:r>
    </w:p>
    <w:p>
      <w:pPr>
        <w:spacing w:after="140" w:line="276"/>
      </w:pPr>
      <w:r>
        <w:rPr>
          <w:rFonts w:ascii="Calibri" w:cs="Calibri" w:eastAsia="Calibri" w:hAnsi="Calibri"/>
          <w:color w:val="222629"/>
          <w:sz w:val="21"/>
          <w:szCs w:val="21"/>
        </w:rPr>
        <w:t xml:space="preserve">Against that, the company remains pre-launch with no disclosed revenue or announced price point, no launch date has been communicated, and the recourse to secured bank debt in June 2026 rather than a priced equity round is a mild negative signal about either the availability of equity or a deliberate choice to avoid dilution. Eleven months without a new priced round means no third party has independently revalued the company upwards.</w:t>
      </w:r>
    </w:p>
    <w:p>
      <w:pPr>
        <w:spacing w:after="140" w:line="276"/>
      </w:pPr>
      <w:r>
        <w:rPr>
          <w:rFonts w:ascii="Calibri" w:cs="Calibri" w:eastAsia="Calibri" w:hAnsi="Calibri"/>
          <w:color w:val="222629"/>
          <w:sz w:val="21"/>
          <w:szCs w:val="21"/>
        </w:rPr>
        <w:t xml:space="preserve">On balance a modest step-up from the September 2025 mark is justified — technical de-risking has occurred and the team has been built out, but the commercial risk that dominates this category is entirely unresolved.</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2400"/>
        <w:gridCol w:w="2320"/>
        <w:gridCol w:w="2320"/>
        <w:gridCol w:w="2320"/>
      </w:tblGrid>
      <w:tr>
        <w:trPr>
          <w:tblHeader/>
        </w:trPr>
        <w:tc>
          <w:tcPr>
            <w:tcW w:type="dxa" w:w="24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Scenario</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Equity value</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Per share</w:t>
            </w:r>
          </w:p>
        </w:tc>
        <w:tc>
          <w:tcPr>
            <w:tcW w:type="dxa" w:w="23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vs. last round</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Conservative</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NOK 30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NOK 255</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flat to slightly down</w:t>
            </w:r>
          </w:p>
        </w:tc>
      </w:tr>
      <w:tr>
        <w:trPr>
          <w:tblHeader w:val="false"/>
        </w:trPr>
        <w:tc>
          <w:tcPr>
            <w:tcW w:type="dxa" w:w="24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Central</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NOK 45 m</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NOK 383</w:t>
            </w:r>
          </w:p>
        </w:tc>
        <w:tc>
          <w:tcPr>
            <w:tcW w:type="dxa" w:w="23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approx. 1.1× step-up</w:t>
            </w:r>
          </w:p>
        </w:tc>
      </w:tr>
      <w:tr>
        <w:trPr>
          <w:tblHeader w:val="false"/>
        </w:trPr>
        <w:tc>
          <w:tcPr>
            <w:tcW w:type="dxa" w:w="24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Optimistic</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NOK 70 m</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NOK 595</w:t>
            </w:r>
          </w:p>
        </w:tc>
        <w:tc>
          <w:tcPr>
            <w:tcW w:type="dxa" w:w="23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approx. 1.75× step-up</w:t>
            </w:r>
          </w:p>
        </w:tc>
      </w:tr>
    </w:tbl>
    <w:p>
      <w:pPr>
        <w:spacing w:after="120"/>
      </w:pPr>
      <w:r>
        <w:rPr>
          <w:sz w:val="12"/>
          <w:szCs w:val="12"/>
        </w:rPr>
        <w:t xml:space="preserve"/>
      </w:r>
    </w:p>
    <w:p>
      <w:pPr>
        <w:spacing w:after="140" w:line="276"/>
      </w:pPr>
      <w:r>
        <w:rPr>
          <w:rFonts w:ascii="Calibri" w:cs="Calibri" w:eastAsia="Calibri" w:hAnsi="Calibri"/>
          <w:i/>
          <w:iCs/>
          <w:color w:val="5A6068"/>
          <w:sz w:val="18"/>
          <w:szCs w:val="18"/>
        </w:rPr>
        <w:t xml:space="preserve">Per-share figures use 117 648 shares outstanding and assume no convertible instruments or option pool dilution, neither of which is visible in the public record. If a convertible loan is outstanding, or an option pool has been reserved, the per-share figures fall accordingly.</w:t>
      </w:r>
    </w:p>
    <w:p>
      <w:pPr>
        <w:spacing w:after="140"/>
      </w:pPr>
      <w:r>
        <w:rPr>
          <w:sz w:val="12"/>
          <w:szCs w:val="12"/>
        </w:rPr>
        <w:t xml:space="preserve"/>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40"/>
              <w:left w:type="dxa" w:w="200"/>
              <w:bottom w:type="dxa" w:w="140"/>
              <w:right w:type="dxa" w:w="200"/>
            </w:tcMar>
          </w:tcPr>
          <w:p>
            <w:pPr>
              <w:spacing w:after="60"/>
            </w:pPr>
            <w:r>
              <w:rPr>
                <w:rFonts w:ascii="Calibri" w:cs="Calibri" w:eastAsia="Calibri" w:hAnsi="Calibri"/>
                <w:b/>
                <w:bCs/>
                <w:color w:val="0F4C5C"/>
                <w:sz w:val="20"/>
                <w:szCs w:val="20"/>
              </w:rPr>
              <w:t xml:space="preserve">Recommended headline figure</w:t>
            </w:r>
          </w:p>
          <w:p>
            <w:pPr>
              <w:spacing w:after="0" w:line="265"/>
            </w:pPr>
            <w:r>
              <w:rPr>
                <w:rFonts w:ascii="Calibri" w:cs="Calibri" w:eastAsia="Calibri" w:hAnsi="Calibri"/>
                <w:color w:val="222629"/>
                <w:sz w:val="20"/>
                <w:szCs w:val="20"/>
              </w:rPr>
              <w:t xml:space="preserve">NOK 45 million equity value, or approximately NOK 380 per share, as at August 2026, within a defensible range of NOK 30–70 million. The width of that range is a fair reflection of how little hard financial information is currently in hand, and it would narrow substantially with SonoFit's own 2025 accounts.</w:t>
            </w:r>
          </w:p>
        </w:tc>
      </w:tr>
    </w:tbl>
    <w:p>
      <w:pPr>
        <w:pStyle w:val="Heading1"/>
        <w:pBdr>
          <w:bottom w:val="single" w:color="C9D6D9" w:sz="8" w:space="6"/>
        </w:pBdr>
        <w:spacing w:after="160" w:before="360"/>
      </w:pPr>
      <w:r>
        <w:rPr>
          <w:rFonts w:ascii="Calibri" w:cs="Calibri" w:eastAsia="Calibri" w:hAnsi="Calibri"/>
          <w:b/>
          <w:bCs/>
          <w:color w:val="0F4C5C"/>
          <w:sz w:val="27"/>
          <w:szCs w:val="27"/>
        </w:rPr>
        <w:t xml:space="preserve">7. Formuesverdi — the number for your tax return</w:t>
      </w:r>
    </w:p>
    <w:p>
      <w:pPr>
        <w:spacing w:after="140" w:line="276"/>
      </w:pPr>
      <w:r>
        <w:rPr>
          <w:rFonts w:ascii="Calibri" w:cs="Calibri" w:eastAsia="Calibri" w:hAnsi="Calibri"/>
          <w:color w:val="222629"/>
          <w:sz w:val="21"/>
          <w:szCs w:val="21"/>
        </w:rPr>
        <w:t xml:space="preserve">None of the above is the figure that belongs in skattemeldingen, and using it there would be an expensive mistake.</w:t>
      </w:r>
    </w:p>
    <w:p>
      <w:pPr>
        <w:spacing w:after="140" w:line="276"/>
      </w:pPr>
      <w:r>
        <w:rPr>
          <w:rFonts w:ascii="Calibri" w:cs="Calibri" w:eastAsia="Calibri" w:hAnsi="Calibri"/>
          <w:color w:val="222629"/>
          <w:sz w:val="21"/>
          <w:szCs w:val="21"/>
        </w:rPr>
        <w:t xml:space="preserve">Under skatteloven § 4-12 (2), unlisted shares in a Norwegian company are valued at the shareholder's proportional share of the company's total </w:t>
      </w:r>
      <w:r>
        <w:rPr>
          <w:rFonts w:ascii="Calibri" w:cs="Calibri" w:eastAsia="Calibri" w:hAnsi="Calibri"/>
          <w:i/>
          <w:iCs/>
          <w:color w:val="222629"/>
          <w:sz w:val="21"/>
          <w:szCs w:val="21"/>
        </w:rPr>
        <w:t xml:space="preserve">skattemessige formuesverdi</w:t>
      </w:r>
      <w:r>
        <w:rPr>
          <w:rFonts w:ascii="Calibri" w:cs="Calibri" w:eastAsia="Calibri" w:hAnsi="Calibri"/>
          <w:color w:val="222629"/>
          <w:sz w:val="21"/>
          <w:szCs w:val="21"/>
        </w:rPr>
        <w:t xml:space="preserve"> — the tax value of its assets less its liabilities — measured at 1 January of the income year. There is an important exception in § 4-13 (2): where share capital has been changed during the income year by payment in or by a capital reduction, the measurement date moves forward to 1 January of the assessment year. SonoFit increased its share capital on 22 September 2025, squarely within income year 2025, so for that year the relevant measurement point is the company's tax net asset position at 1 January 2026 — that is, at the 31 December 2025 balance sheet date.</w:t>
      </w:r>
    </w:p>
    <w:p>
      <w:pPr>
        <w:spacing w:after="140" w:line="276"/>
      </w:pPr>
      <w:r>
        <w:rPr>
          <w:rFonts w:ascii="Calibri" w:cs="Calibri" w:eastAsia="Calibri" w:hAnsi="Calibri"/>
          <w:color w:val="222629"/>
          <w:sz w:val="21"/>
          <w:szCs w:val="21"/>
        </w:rPr>
        <w:t xml:space="preserve">It is worth heading off one common misconception. There used to be a special rule in § 4-13 (1) valuing newly established companies at share capital plus share premium, which would have made SonoFit's formuesverdi a simple function of what was paid into the September 2025 issue. That rule was repealed with effect from income year 2019. Newly formed companies are now valued on the same tax net asset basis as everyone else, so the amount subscribed in the round does not set the wealth tax value.</w:t>
      </w:r>
    </w:p>
    <w:p>
      <w:pPr>
        <w:spacing w:after="140" w:line="276"/>
      </w:pPr>
      <w:r>
        <w:rPr>
          <w:rFonts w:ascii="Calibri" w:cs="Calibri" w:eastAsia="Calibri" w:hAnsi="Calibri"/>
          <w:color w:val="222629"/>
          <w:sz w:val="21"/>
          <w:szCs w:val="21"/>
        </w:rPr>
        <w:t xml:space="preserve">What lands in that calculation is tax book value, not enterprise value. A research-stage company that expenses its development costs as incurred — which is the norm for a small Norwegian AS reporting under NRS 8 — carries almost nothing on its balance sheet. The tax net asset value is broadly cash, plus any capitalised equipment at tax written-down value, less liabilities. It captures none of the transducer design, the algorithms, the athlete dataset, the patent application or the team.</w:t>
      </w:r>
    </w:p>
    <w:p>
      <w:pPr>
        <w:spacing w:after="140" w:line="276"/>
      </w:pPr>
      <w:r>
        <w:rPr>
          <w:rFonts w:ascii="Calibri" w:cs="Calibri" w:eastAsia="Calibri" w:hAnsi="Calibri"/>
          <w:color w:val="222629"/>
          <w:sz w:val="21"/>
          <w:szCs w:val="21"/>
        </w:rPr>
        <w:t xml:space="preserve">This produces a striking asymmetry. If SonoFit raised roughly NOK 6 million in September 2025 and had spent a meaningful part of it by year end, its tax net asset value at 31 December 2025 might be somewhere in the low single-digit millions, and conceivably close to nil if the year's spending was heavy. The illustration below shows how the wealth tax base then falls out; the twenty per cent valuation discount for shares applies for both 2025 and 2026, so eighty per cent of formuesverdi is what enters the calculation.</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300"/>
        <w:gridCol w:w="2020"/>
        <w:gridCol w:w="2020"/>
        <w:gridCol w:w="2020"/>
      </w:tblGrid>
      <w:tr>
        <w:trPr>
          <w:tblHeader/>
        </w:trPr>
        <w:tc>
          <w:tcPr>
            <w:tcW w:type="dxa" w:w="33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Illustration only (NOK)</w:t>
            </w:r>
          </w:p>
        </w:tc>
        <w:tc>
          <w:tcPr>
            <w:tcW w:type="dxa" w:w="20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Case A</w:t>
            </w:r>
          </w:p>
        </w:tc>
        <w:tc>
          <w:tcPr>
            <w:tcW w:type="dxa" w:w="20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Case B</w:t>
            </w:r>
          </w:p>
        </w:tc>
        <w:tc>
          <w:tcPr>
            <w:tcW w:type="dxa" w:w="2020"/>
            <w:shd w:fill="0F4C5C" w:color="auto" w:val="clear"/>
            <w:tcMar>
              <w:top w:type="dxa" w:w="70"/>
              <w:left w:type="dxa" w:w="110"/>
              <w:bottom w:type="dxa" w:w="70"/>
              <w:right w:type="dxa" w:w="110"/>
            </w:tcMar>
            <w:vAlign w:val="center"/>
          </w:tcPr>
          <w:p>
            <w:pPr>
              <w:spacing w:after="0" w:line="250"/>
              <w:jc w:val="right"/>
            </w:pPr>
            <w:r>
              <w:rPr>
                <w:rFonts w:ascii="Calibri" w:cs="Calibri" w:eastAsia="Calibri" w:hAnsi="Calibri"/>
                <w:b/>
                <w:bCs/>
                <w:color w:val="FFFFFF"/>
                <w:sz w:val="19"/>
                <w:szCs w:val="19"/>
              </w:rPr>
              <w:t xml:space="preserve">Case C</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Company tax net asset value at 1 Jan 2026</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500 000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2 000 000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5 000 000</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Formuesverdi per share (÷ 117 648)</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4.25</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17.00</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42.50</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After 20 % valuation discount</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3.40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13.60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34.00</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Wealth tax base per 1 000 shares held</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3 400</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13 600</w:t>
            </w:r>
          </w:p>
        </w:tc>
        <w:tc>
          <w:tcPr>
            <w:tcW w:type="dxa" w:w="2020"/>
            <w:shd w:fill="EDF3F4" w:color="auto" w:val="clear"/>
            <w:tcMar>
              <w:top w:type="dxa" w:w="70"/>
              <w:left w:type="dxa" w:w="110"/>
              <w:bottom w:type="dxa" w:w="70"/>
              <w:right w:type="dxa" w:w="110"/>
            </w:tcMar>
            <w:vAlign w:val="center"/>
          </w:tcPr>
          <w:p>
            <w:pPr>
              <w:spacing w:after="0" w:line="250"/>
              <w:jc w:val="right"/>
            </w:pPr>
            <w:r>
              <w:rPr>
                <w:rFonts w:ascii="Calibri" w:cs="Calibri" w:eastAsia="Calibri" w:hAnsi="Calibri"/>
                <w:color w:val="222629"/>
                <w:sz w:val="19"/>
                <w:szCs w:val="19"/>
              </w:rPr>
              <w:t xml:space="preserve">34 000</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b/>
                <w:bCs/>
                <w:color w:val="222629"/>
                <w:sz w:val="19"/>
                <w:szCs w:val="19"/>
              </w:rPr>
              <w:t xml:space="preserve">Market value per 1 000 shares (section 6 central case)</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380 000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380 000</w:t>
            </w:r>
          </w:p>
        </w:tc>
        <w:tc>
          <w:tcPr>
            <w:tcW w:type="dxa" w:w="2020"/>
            <w:tcMar>
              <w:top w:type="dxa" w:w="70"/>
              <w:left w:type="dxa" w:w="110"/>
              <w:bottom w:type="dxa" w:w="70"/>
              <w:right w:type="dxa" w:w="110"/>
            </w:tcMar>
            <w:vAlign w:val="center"/>
          </w:tcPr>
          <w:p>
            <w:pPr>
              <w:spacing w:after="0" w:line="250"/>
              <w:jc w:val="right"/>
            </w:pPr>
            <w:r>
              <w:rPr>
                <w:rFonts w:ascii="Calibri" w:cs="Calibri" w:eastAsia="Calibri" w:hAnsi="Calibri"/>
                <w:b/>
                <w:bCs/>
                <w:color w:val="222629"/>
                <w:sz w:val="19"/>
                <w:szCs w:val="19"/>
              </w:rPr>
              <w:t xml:space="preserve">380 000</w:t>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The figures in that table are worked examples, not estimates of SonoFit's actual position — the true tax net asset value can only be read off SonoFit's own 2025 accounts and tax return. The point they make is structural rather than numerical: the wealth-tax value of these shares is likely to be one or two orders of magnitude below their market value, and the correct figure is whatever the company reports, not what the shares would fetch.</w:t>
      </w:r>
    </w:p>
    <w:p>
      <w:pPr>
        <w:spacing w:after="140" w:line="276"/>
      </w:pPr>
      <w:r>
        <w:rPr>
          <w:rFonts w:ascii="Calibri" w:cs="Calibri" w:eastAsia="Calibri" w:hAnsi="Calibri"/>
          <w:color w:val="222629"/>
          <w:sz w:val="21"/>
          <w:szCs w:val="21"/>
        </w:rPr>
        <w:t xml:space="preserve">One practical consequence worth flagging. The company reports share values to Skatteetaten through the shareholder register statement (aksjonærregisteroppgaven), and the formuesverdi that flows through to shareholders' pre-completed tax returns comes from that filing. If you become a shareholder, the number you should use is the one the company files — not one you calculate yourself — and it is worth confirming with SonoFit's accountant that the § 4-13 (2) measurement date has been applied correctly given the September 2025 capital increase.</w:t>
      </w:r>
    </w:p>
    <w:p>
      <w:pPr>
        <w:pStyle w:val="Heading1"/>
        <w:pBdr>
          <w:bottom w:val="single" w:color="C9D6D9" w:sz="8" w:space="6"/>
        </w:pBdr>
        <w:spacing w:after="160" w:before="360"/>
      </w:pPr>
      <w:r>
        <w:rPr>
          <w:rFonts w:ascii="Calibri" w:cs="Calibri" w:eastAsia="Calibri" w:hAnsi="Calibri"/>
          <w:b/>
          <w:bCs/>
          <w:color w:val="0F4C5C"/>
          <w:sz w:val="27"/>
          <w:szCs w:val="27"/>
        </w:rPr>
        <w:t xml:space="preserve">8. Options — the strike price question</w:t>
      </w:r>
    </w:p>
    <w:p>
      <w:pPr>
        <w:spacing w:after="140" w:line="276"/>
      </w:pPr>
      <w:r>
        <w:rPr>
          <w:rFonts w:ascii="Calibri" w:cs="Calibri" w:eastAsia="Calibri" w:hAnsi="Calibri"/>
          <w:color w:val="222629"/>
          <w:sz w:val="21"/>
          <w:szCs w:val="21"/>
        </w:rPr>
        <w:t xml:space="preserve">If the underlying question is what strike price to attach to employee options, the analysis is different again, and there is a clean answer available.</w:t>
      </w:r>
    </w:p>
    <w:p>
      <w:pPr>
        <w:pStyle w:val="Heading2"/>
        <w:spacing w:after="110" w:before="260"/>
      </w:pPr>
      <w:r>
        <w:rPr>
          <w:rFonts w:ascii="Calibri" w:cs="Calibri" w:eastAsia="Calibri" w:hAnsi="Calibri"/>
          <w:b/>
          <w:bCs/>
          <w:color w:val="1B7F8C"/>
          <w:sz w:val="22"/>
          <w:szCs w:val="22"/>
        </w:rPr>
        <w:t xml:space="preserve">The company qualifies for the startup option scheme</w:t>
      </w:r>
    </w:p>
    <w:p>
      <w:pPr>
        <w:spacing w:after="140" w:line="276"/>
      </w:pPr>
      <w:r>
        <w:rPr>
          <w:rFonts w:ascii="Calibri" w:cs="Calibri" w:eastAsia="Calibri" w:hAnsi="Calibri"/>
          <w:color w:val="222629"/>
          <w:sz w:val="21"/>
          <w:szCs w:val="21"/>
        </w:rPr>
        <w:t xml:space="preserve">The favourable regime for options in start-up and growth companies (</w:t>
      </w:r>
      <w:r>
        <w:rPr>
          <w:rFonts w:ascii="Calibri" w:cs="Calibri" w:eastAsia="Calibri" w:hAnsi="Calibri"/>
          <w:i/>
          <w:iCs/>
          <w:color w:val="222629"/>
          <w:sz w:val="21"/>
          <w:szCs w:val="21"/>
        </w:rPr>
        <w:t xml:space="preserve">opsjonsskatteordningen</w:t>
      </w:r>
      <w:r>
        <w:rPr>
          <w:rFonts w:ascii="Calibri" w:cs="Calibri" w:eastAsia="Calibri" w:hAnsi="Calibri"/>
          <w:color w:val="222629"/>
          <w:sz w:val="21"/>
          <w:szCs w:val="21"/>
        </w:rPr>
        <w:t xml:space="preserve">) defers all taxation until the shares are sold, and then taxes the whole gain as capital income rather than as salary. The company-level conditions were relaxed with effect from 13 March 2025, and SonoFit clears them comfortably.</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600"/>
        <w:gridCol w:w="2900"/>
        <w:gridCol w:w="2860"/>
      </w:tblGrid>
      <w:tr>
        <w:trPr>
          <w:tblHeader/>
        </w:trPr>
        <w:tc>
          <w:tcPr>
            <w:tcW w:type="dxa" w:w="36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Company condition (from 13 Mar 2025)</w:t>
            </w:r>
          </w:p>
        </w:tc>
        <w:tc>
          <w:tcPr>
            <w:tcW w:type="dxa" w:w="29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Threshold</w:t>
            </w:r>
          </w:p>
        </w:tc>
        <w:tc>
          <w:tcPr>
            <w:tcW w:type="dxa" w:w="286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SonoFit</w:t>
            </w:r>
          </w:p>
        </w:tc>
      </w:tr>
      <w:tr>
        <w:trPr>
          <w:tblHeader w:val="false"/>
        </w:trPr>
        <w:tc>
          <w:tcPr>
            <w:tcW w:type="dxa" w:w="36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Number of employees (annual average FTE)</w:t>
            </w:r>
          </w:p>
        </w:tc>
        <w:tc>
          <w:tcPr>
            <w:tcW w:type="dxa" w:w="2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 150</w:t>
            </w:r>
          </w:p>
        </w:tc>
        <w:tc>
          <w:tcPr>
            <w:tcW w:type="dxa" w:w="2860"/>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9 — clear</w:t>
            </w:r>
          </w:p>
        </w:tc>
      </w:tr>
      <w:tr>
        <w:trPr>
          <w:tblHeader w:val="false"/>
        </w:trPr>
        <w:tc>
          <w:tcPr>
            <w:tcW w:type="dxa" w:w="36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Operating income, prior financial year</w:t>
            </w:r>
          </w:p>
        </w:tc>
        <w:tc>
          <w:tcPr>
            <w:tcW w:type="dxa" w:w="2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 NOK 80 m</w:t>
            </w:r>
          </w:p>
        </w:tc>
        <w:tc>
          <w:tcPr>
            <w:tcW w:type="dxa" w:w="28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Far below — clear</w:t>
            </w:r>
          </w:p>
        </w:tc>
      </w:tr>
      <w:tr>
        <w:trPr>
          <w:tblHeader w:val="false"/>
        </w:trPr>
        <w:tc>
          <w:tcPr>
            <w:tcW w:type="dxa" w:w="36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Balance sheet total, prior financial year</w:t>
            </w:r>
          </w:p>
        </w:tc>
        <w:tc>
          <w:tcPr>
            <w:tcW w:type="dxa" w:w="2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 NOK 200 m</w:t>
            </w:r>
          </w:p>
        </w:tc>
        <w:tc>
          <w:tcPr>
            <w:tcW w:type="dxa" w:w="2860"/>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Far below — clear</w:t>
            </w:r>
          </w:p>
        </w:tc>
      </w:tr>
      <w:tr>
        <w:trPr>
          <w:tblHeader w:val="false"/>
        </w:trPr>
        <w:tc>
          <w:tcPr>
            <w:tcW w:type="dxa" w:w="36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Age of company in grant year</w:t>
            </w:r>
          </w:p>
        </w:tc>
        <w:tc>
          <w:tcPr>
            <w:tcW w:type="dxa" w:w="2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 12 years</w:t>
            </w:r>
          </w:p>
        </w:tc>
        <w:tc>
          <w:tcPr>
            <w:tcW w:type="dxa" w:w="28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Founded 2024 — clear</w:t>
            </w:r>
          </w:p>
        </w:tc>
      </w:tr>
      <w:tr>
        <w:trPr>
          <w:tblHeader w:val="false"/>
        </w:trPr>
        <w:tc>
          <w:tcPr>
            <w:tcW w:type="dxa" w:w="36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Public bodies' ownership or control</w:t>
            </w:r>
          </w:p>
        </w:tc>
        <w:tc>
          <w:tcPr>
            <w:tcW w:type="dxa" w:w="2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 25 %</w:t>
            </w:r>
          </w:p>
        </w:tc>
        <w:tc>
          <w:tcPr>
            <w:tcW w:type="dxa" w:w="2860"/>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Privately held — clear</w:t>
            </w:r>
          </w:p>
        </w:tc>
      </w:tr>
      <w:tr>
        <w:trPr>
          <w:tblHeader w:val="false"/>
        </w:trPr>
        <w:tc>
          <w:tcPr>
            <w:tcW w:type="dxa" w:w="36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Excluded activities</w:t>
            </w:r>
          </w:p>
        </w:tc>
        <w:tc>
          <w:tcPr>
            <w:tcW w:type="dxa" w:w="2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None permitted</w:t>
            </w:r>
          </w:p>
        </w:tc>
        <w:tc>
          <w:tcPr>
            <w:tcW w:type="dxa" w:w="28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1B7F3C"/>
                <w:sz w:val="19"/>
                <w:szCs w:val="19"/>
              </w:rPr>
              <w:t xml:space="preserve">Medtech hardware — clear</w:t>
            </w:r>
          </w:p>
        </w:tc>
      </w:tr>
      <w:tr>
        <w:trPr>
          <w:tblHeader w:val="false"/>
        </w:trPr>
        <w:tc>
          <w:tcPr>
            <w:tcW w:type="dxa" w:w="36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Company in financial difficulty</w:t>
            </w:r>
          </w:p>
        </w:tc>
        <w:tc>
          <w:tcPr>
            <w:tcW w:type="dxa" w:w="29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Must not be</w:t>
            </w:r>
          </w:p>
        </w:tc>
        <w:tc>
          <w:tcPr>
            <w:tcW w:type="dxa" w:w="2860"/>
            <w:tcMar>
              <w:top w:type="dxa" w:w="70"/>
              <w:left w:type="dxa" w:w="110"/>
              <w:bottom w:type="dxa" w:w="70"/>
              <w:right w:type="dxa" w:w="110"/>
            </w:tcMar>
            <w:vAlign w:val="center"/>
          </w:tcPr>
          <w:p>
            <w:pPr>
              <w:spacing w:after="0" w:line="250"/>
              <w:jc w:val="left"/>
            </w:pPr>
            <w:r>
              <w:rPr>
                <w:rFonts w:ascii="Calibri" w:cs="Calibri" w:eastAsia="Calibri" w:hAnsi="Calibri"/>
                <w:color w:val="5A6068"/>
                <w:sz w:val="19"/>
                <w:szCs w:val="19"/>
              </w:rPr>
              <w:t xml:space="preserve">Confirm at grant date</w:t>
            </w:r>
          </w:p>
        </w:tc>
      </w:tr>
      <w:tr>
        <w:trPr>
          <w:tblHeader w:val="false"/>
        </w:trPr>
        <w:tc>
          <w:tcPr>
            <w:tcW w:type="dxa" w:w="36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Outstanding unlawful state aid</w:t>
            </w:r>
          </w:p>
        </w:tc>
        <w:tc>
          <w:tcPr>
            <w:tcW w:type="dxa" w:w="29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Must be none</w:t>
            </w:r>
          </w:p>
        </w:tc>
        <w:tc>
          <w:tcPr>
            <w:tcW w:type="dxa" w:w="28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5A6068"/>
                <w:sz w:val="19"/>
                <w:szCs w:val="19"/>
              </w:rPr>
              <w:t xml:space="preserve">Confirm at grant date</w:t>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Two of those rows deserve a note. The operating income and balance sheet tests are cumulative — both must be met, and it is the NOK 80 million revenue ceiling rather than the NOK 200 million balance sheet ceiling that binds first for a company on a normal growth path. The excluded-activities condition rules out passive capital management, coal and steel, and companies where more than thirty per cent of wage costs fall within finance, insurance, real estate dealing, long-term property letting, legal, audit or accounting services. SonoFit is a medical device developer and falls outside all of these, but the financial-difficulty and state aid conditions are tested at the grant date and should be confirmed then rather than assumed.</w:t>
      </w:r>
    </w:p>
    <w:p>
      <w:pPr>
        <w:pStyle w:val="Heading2"/>
        <w:spacing w:after="110" w:before="260"/>
      </w:pPr>
      <w:r>
        <w:rPr>
          <w:rFonts w:ascii="Calibri" w:cs="Calibri" w:eastAsia="Calibri" w:hAnsi="Calibri"/>
          <w:b/>
          <w:bCs/>
          <w:color w:val="1B7F8C"/>
          <w:sz w:val="22"/>
          <w:szCs w:val="22"/>
        </w:rPr>
        <w:t xml:space="preserve">The strike must be at least market value at grant</w:t>
      </w:r>
    </w:p>
    <w:p>
      <w:pPr>
        <w:spacing w:after="140" w:line="276"/>
      </w:pPr>
      <w:r>
        <w:rPr>
          <w:rFonts w:ascii="Calibri" w:cs="Calibri" w:eastAsia="Calibri" w:hAnsi="Calibri"/>
          <w:color w:val="222629"/>
          <w:sz w:val="21"/>
          <w:szCs w:val="21"/>
        </w:rPr>
        <w:t xml:space="preserve">Since 12 October 2021 the agreed exercise price cannot be lower than the market value of the shares at the date of grant. This is where the valuation in section 6 becomes operational — and where there is a much better answer available than any modelled estimate.</w:t>
      </w:r>
    </w:p>
    <w:tbl>
      <w:tblPr>
        <w:tblW w:type="dxa" w:w="9360"/>
        <w:tblBorders>
          <w:top w:val="none" w:color="FFFFFF" w:sz="0"/>
          <w:left w:val="single" w:color="1B7F8C" w:sz="18"/>
          <w:bottom w:val="none" w:color="FFFFFF" w:sz="0"/>
          <w:right w:val="none" w:color="FFFFFF" w:sz="0"/>
          <w:insideH w:val="none" w:color="FFFFFF" w:sz="0"/>
          <w:insideV w:val="none" w:color="FFFFFF" w:sz="0"/>
        </w:tblBorders>
      </w:tblPr>
      <w:tblGrid>
        <w:gridCol w:w="9360"/>
      </w:tblGrid>
      <w:tr>
        <w:tc>
          <w:tcPr>
            <w:tcW w:type="dxa" w:w="9360"/>
            <w:shd w:fill="EDF3F4" w:color="auto" w:val="clear"/>
            <w:tcMar>
              <w:top w:type="dxa" w:w="140"/>
              <w:left w:type="dxa" w:w="200"/>
              <w:bottom w:type="dxa" w:w="140"/>
              <w:right w:type="dxa" w:w="200"/>
            </w:tcMar>
          </w:tcPr>
          <w:p>
            <w:pPr>
              <w:spacing w:after="60"/>
            </w:pPr>
            <w:r>
              <w:rPr>
                <w:rFonts w:ascii="Calibri" w:cs="Calibri" w:eastAsia="Calibri" w:hAnsi="Calibri"/>
                <w:b/>
                <w:bCs/>
                <w:color w:val="0F4C5C"/>
                <w:sz w:val="20"/>
                <w:szCs w:val="20"/>
              </w:rPr>
              <w:t xml:space="preserve">The most defensible strike price</w:t>
            </w:r>
          </w:p>
          <w:p>
            <w:pPr>
              <w:spacing w:after="0" w:line="265"/>
            </w:pPr>
            <w:r>
              <w:rPr>
                <w:rFonts w:ascii="Calibri" w:cs="Calibri" w:eastAsia="Calibri" w:hAnsi="Calibri"/>
                <w:color w:val="222629"/>
                <w:sz w:val="20"/>
                <w:szCs w:val="20"/>
              </w:rPr>
              <w:t xml:space="preserve">Use the subscription price actually paid in the September 2025 share issue. An arm's-length price agreed with a genuine third-party investor is the strongest possible evidence of market value, and tax authorities generally give weight to a recent third-party round over any internal calculation. That price is recorded in SonoFit's accounts and in the share issue documentation — retrieve it rather than estimating it.</w:t>
            </w:r>
          </w:p>
        </w:tc>
      </w:tr>
    </w:tbl>
    <w:p>
      <w:pPr>
        <w:spacing w:after="160"/>
      </w:pPr>
      <w:r>
        <w:rPr>
          <w:sz w:val="12"/>
          <w:szCs w:val="12"/>
        </w:rPr>
        <w:t xml:space="preserve"/>
      </w:r>
    </w:p>
    <w:p>
      <w:pPr>
        <w:spacing w:after="140" w:line="276"/>
      </w:pPr>
      <w:r>
        <w:rPr>
          <w:rFonts w:ascii="Calibri" w:cs="Calibri" w:eastAsia="Calibri" w:hAnsi="Calibri"/>
          <w:color w:val="222629"/>
          <w:sz w:val="21"/>
          <w:szCs w:val="21"/>
        </w:rPr>
        <w:t xml:space="preserve">There is a timing point attached to this. The September 2025 round is now roughly ten and a half months old. The further past twelve months it drifts, and the more the company achieves in the meantime — in-house transducers, working prototypes, a heavyweight advisory board — the harder it becomes to argue that nothing has changed since. If options are going to be granted at the last round price, doing so sooner is materially easier to defend than doing so later. If they are granted later, expect to justify a step-up towards the section 6 range.</w:t>
      </w:r>
    </w:p>
    <w:p>
      <w:pPr>
        <w:pStyle w:val="Heading2"/>
        <w:spacing w:after="110" w:before="260"/>
      </w:pPr>
      <w:r>
        <w:rPr>
          <w:rFonts w:ascii="Calibri" w:cs="Calibri" w:eastAsia="Calibri" w:hAnsi="Calibri"/>
          <w:b/>
          <w:bCs/>
          <w:color w:val="1B7F8C"/>
          <w:sz w:val="22"/>
          <w:szCs w:val="22"/>
        </w:rPr>
        <w:t xml:space="preserve">Individual conditions — the part most likely to catch someone out</w:t>
      </w:r>
    </w:p>
    <w:p>
      <w:pPr>
        <w:spacing w:after="140" w:line="276"/>
      </w:pPr>
      <w:r>
        <w:rPr>
          <w:rFonts w:ascii="Calibri" w:cs="Calibri" w:eastAsia="Calibri" w:hAnsi="Calibri"/>
          <w:color w:val="222629"/>
          <w:sz w:val="21"/>
          <w:szCs w:val="21"/>
        </w:rPr>
        <w:t xml:space="preserve">The company-level tests are easy. The individual tests are where these arrangements usually fail, and one of them deserves particular attention in your case.</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300"/>
        <w:gridCol w:w="6060"/>
      </w:tblGrid>
      <w:tr>
        <w:trPr>
          <w:tblHeader/>
        </w:trPr>
        <w:tc>
          <w:tcPr>
            <w:tcW w:type="dxa" w:w="33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Individual condition</w:t>
            </w:r>
          </w:p>
        </w:tc>
        <w:tc>
          <w:tcPr>
            <w:tcW w:type="dxa" w:w="606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Requirement and comment</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Working hours</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Average of at least 25 hours per week in the company, from grant through to exercise. This is the binding constraint for anyone engaged part-time, as an intern, or alongside full-time study.</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Employment status</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holder must be an employee. Someone engaged as a consultant on an invoice basis does not qualify, however substantive the work.</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Ownership limit</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holder must not, directly or indirectly, own more than 5 per cent of the company at any point in the two years before grant, or in the grant year.</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Per-person cap</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Maximum NOK 3 million of underlying share value per individual, measured at grant.</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Company-wide cap</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Maximum NOK 60 million of outstanding option value across all holders.</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Exercise window</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Exercise no earlier than three years and no later than ten years after grant.</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Transferability</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option must be non-transferable. An option that can be assigned or sold falls outside the scheme.</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Reporting</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company must report the grant to Skatteetaten in the a-melding, with the annual deadline falling on 1 February following the grant year. Failure to report can cost the favourable treatment, and the obligation sits with the company rather than the holder.</w:t>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The company's own team page describes you as a fourth-year master's student in Electronics System Design at NTNU working as a part-time consultant. If that description is still accurate, both the 25-hour test and the employee test are at risk, and it is worth resolving before any option agreement is signed rather than after. The consequence of falling outside the scheme is not trivial: options then fall under the ordinary rules, where the spread between market value and strike price is taxed as </w:t>
      </w:r>
      <w:r>
        <w:rPr>
          <w:rFonts w:ascii="Calibri" w:cs="Calibri" w:eastAsia="Calibri" w:hAnsi="Calibri"/>
          <w:b/>
          <w:bCs/>
          <w:color w:val="222629"/>
          <w:sz w:val="21"/>
          <w:szCs w:val="21"/>
        </w:rPr>
        <w:t xml:space="preserve">salary income</w:t>
      </w:r>
      <w:r>
        <w:rPr>
          <w:rFonts w:ascii="Calibri" w:cs="Calibri" w:eastAsia="Calibri" w:hAnsi="Calibri"/>
          <w:color w:val="222629"/>
          <w:sz w:val="21"/>
          <w:szCs w:val="21"/>
        </w:rPr>
        <w:t xml:space="preserve"> at exercise, with employer's national insurance contribution payable on top — and taxed at a point where you hold illiquid shares in a private company and have no cash from them with which to pay. If the arrangement has since changed to full employment, this concern falls away, but confirm it explicitly with Sigmund and the company's accountant.</w:t>
      </w:r>
    </w:p>
    <w:p>
      <w:pPr>
        <w:pStyle w:val="Heading1"/>
        <w:pBdr>
          <w:bottom w:val="single" w:color="C9D6D9" w:sz="8" w:space="6"/>
        </w:pBdr>
        <w:spacing w:after="160" w:before="360"/>
      </w:pPr>
      <w:r>
        <w:rPr>
          <w:rFonts w:ascii="Calibri" w:cs="Calibri" w:eastAsia="Calibri" w:hAnsi="Calibri"/>
          <w:b/>
          <w:bCs/>
          <w:color w:val="0F4C5C"/>
          <w:sz w:val="27"/>
          <w:szCs w:val="27"/>
        </w:rPr>
        <w:t xml:space="preserve">9. What would sharpen this materially</w:t>
      </w:r>
    </w:p>
    <w:p>
      <w:pPr>
        <w:spacing w:after="140" w:line="276"/>
      </w:pPr>
      <w:r>
        <w:rPr>
          <w:rFonts w:ascii="Calibri" w:cs="Calibri" w:eastAsia="Calibri" w:hAnsi="Calibri"/>
          <w:color w:val="222629"/>
          <w:sz w:val="21"/>
          <w:szCs w:val="21"/>
        </w:rPr>
        <w:t xml:space="preserve">The estimate above is wide because it is built on inference. Five documents would collapse most of the uncertainty, and all of them exist.</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4000"/>
        <w:gridCol w:w="5360"/>
      </w:tblGrid>
      <w:tr>
        <w:trPr>
          <w:tblHeader/>
        </w:trPr>
        <w:tc>
          <w:tcPr>
            <w:tcW w:type="dxa" w:w="40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Document</w:t>
            </w:r>
          </w:p>
        </w:tc>
        <w:tc>
          <w:tcPr>
            <w:tcW w:type="dxa" w:w="536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What it resolves</w:t>
            </w:r>
          </w:p>
        </w:tc>
      </w:tr>
      <w:tr>
        <w:trPr>
          <w:tblHeader w:val="false"/>
        </w:trPr>
        <w:tc>
          <w:tcPr>
            <w:tcW w:type="dxa" w:w="4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SonoFit AS 2025 annual accounts (org. 934 341 031)</w:t>
            </w:r>
          </w:p>
        </w:tc>
        <w:tc>
          <w:tcPr>
            <w:tcW w:type="dxa" w:w="5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Share premium, equity, cash, revenue and cost base — this alone converts the section 4 reconstruction from inference into fact, and gives the tax net asset value for section 7</w:t>
            </w:r>
          </w:p>
        </w:tc>
      </w:tr>
      <w:tr>
        <w:trPr>
          <w:tblHeader w:val="false"/>
        </w:trPr>
        <w:tc>
          <w:tcPr>
            <w:tcW w:type="dxa" w:w="4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September 2025 share issue documentation</w:t>
            </w:r>
          </w:p>
        </w:tc>
        <w:tc>
          <w:tcPr>
            <w:tcW w:type="dxa" w:w="5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actual subscription price per share, which is both the last-round valuation mark and the most defensible option strike</w:t>
            </w:r>
          </w:p>
        </w:tc>
      </w:tr>
      <w:tr>
        <w:trPr>
          <w:tblHeader w:val="false"/>
        </w:trPr>
        <w:tc>
          <w:tcPr>
            <w:tcW w:type="dxa" w:w="4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Current cap table and shareholder agreement</w:t>
            </w:r>
          </w:p>
        </w:tc>
        <w:tc>
          <w:tcPr>
            <w:tcW w:type="dxa" w:w="5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Whether an option pool, convertible loan or liquidation preference exists, all of which change the per-share figures</w:t>
            </w:r>
          </w:p>
        </w:tc>
      </w:tr>
      <w:tr>
        <w:trPr>
          <w:tblHeader w:val="false"/>
        </w:trPr>
        <w:tc>
          <w:tcPr>
            <w:tcW w:type="dxa" w:w="40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DNB facility documentation</w:t>
            </w:r>
          </w:p>
        </w:tc>
        <w:tc>
          <w:tcPr>
            <w:tcW w:type="dxa" w:w="53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How much of the NOK 4 million collateral is actually drawn, and therefore the true funding gap</w:t>
            </w:r>
          </w:p>
        </w:tc>
      </w:tr>
      <w:tr>
        <w:trPr>
          <w:tblHeader w:val="false"/>
        </w:trPr>
        <w:tc>
          <w:tcPr>
            <w:tcW w:type="dxa" w:w="40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Any 2026 term sheet or indicative offer</w:t>
            </w:r>
          </w:p>
        </w:tc>
        <w:tc>
          <w:tcPr>
            <w:tcW w:type="dxa" w:w="53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 current third-party mark, which would supersede this entire paper</w:t>
            </w:r>
          </w:p>
        </w:tc>
      </w:tr>
    </w:tbl>
    <w:p>
      <w:pPr>
        <w:spacing w:after="140"/>
      </w:pPr>
      <w:r>
        <w:rPr>
          <w:sz w:val="12"/>
          <w:szCs w:val="12"/>
        </w:rPr>
        <w:t xml:space="preserve"/>
      </w:r>
    </w:p>
    <w:p>
      <w:pPr>
        <w:spacing w:after="140" w:line="276"/>
      </w:pPr>
      <w:r>
        <w:rPr>
          <w:rFonts w:ascii="Calibri" w:cs="Calibri" w:eastAsia="Calibri" w:hAnsi="Calibri"/>
          <w:color w:val="222629"/>
          <w:sz w:val="21"/>
          <w:szCs w:val="21"/>
        </w:rPr>
        <w:t xml:space="preserve">If you can obtain the first two, this paper can be reworked into a much tighter estimate — realistically a range of plus or minus twenty per cent rather than the current spread.</w:t>
      </w:r>
    </w:p>
    <w:p>
      <w:pPr>
        <w:pStyle w:val="Heading1"/>
        <w:pBdr>
          <w:bottom w:val="single" w:color="C9D6D9" w:sz="8" w:space="6"/>
        </w:pBdr>
        <w:spacing w:after="160" w:before="360"/>
      </w:pPr>
      <w:r>
        <w:rPr>
          <w:rFonts w:ascii="Calibri" w:cs="Calibri" w:eastAsia="Calibri" w:hAnsi="Calibri"/>
          <w:b/>
          <w:bCs/>
          <w:color w:val="0F4C5C"/>
          <w:sz w:val="27"/>
          <w:szCs w:val="27"/>
        </w:rPr>
        <w:t xml:space="preserve">10. Summary</w:t>
      </w:r>
    </w:p>
    <w:p>
      <w:pPr>
        <w:spacing w:after="60"/>
      </w:pPr>
      <w:r>
        <w:rPr>
          <w:sz w:val="12"/>
          <w:szCs w:val="12"/>
        </w:rPr>
        <w:t xml:space="preserve"/>
      </w:r>
    </w:p>
    <w:tbl>
      <w:tblPr>
        <w:tblW w:type="dxa" w:w="9360"/>
        <w:tblBorders>
          <w:top w:val="single" w:color="C9D6D9" w:sz="4"/>
          <w:left w:val="none" w:color="FFFFFF" w:sz="0"/>
          <w:bottom w:val="single" w:color="C9D6D9" w:sz="4"/>
          <w:right w:val="none" w:color="FFFFFF" w:sz="0"/>
          <w:insideH w:val="single" w:color="C9D6D9" w:sz="2"/>
          <w:insideV w:val="none" w:color="FFFFFF" w:sz="0"/>
        </w:tblBorders>
      </w:tblPr>
      <w:tblGrid>
        <w:gridCol w:w="3300"/>
        <w:gridCol w:w="6060"/>
      </w:tblGrid>
      <w:tr>
        <w:trPr>
          <w:tblHeader/>
        </w:trPr>
        <w:tc>
          <w:tcPr>
            <w:tcW w:type="dxa" w:w="330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Question</w:t>
            </w:r>
          </w:p>
        </w:tc>
        <w:tc>
          <w:tcPr>
            <w:tcW w:type="dxa" w:w="6060"/>
            <w:shd w:fill="0F4C5C" w:color="auto" w:val="clear"/>
            <w:tcMar>
              <w:top w:type="dxa" w:w="70"/>
              <w:left w:type="dxa" w:w="110"/>
              <w:bottom w:type="dxa" w:w="70"/>
              <w:right w:type="dxa" w:w="110"/>
            </w:tcMar>
            <w:vAlign w:val="center"/>
          </w:tcPr>
          <w:p>
            <w:pPr>
              <w:spacing w:after="0" w:line="250"/>
              <w:jc w:val="left"/>
            </w:pPr>
            <w:r>
              <w:rPr>
                <w:rFonts w:ascii="Calibri" w:cs="Calibri" w:eastAsia="Calibri" w:hAnsi="Calibri"/>
                <w:b/>
                <w:bCs/>
                <w:color w:val="FFFFFF"/>
                <w:sz w:val="19"/>
                <w:szCs w:val="19"/>
              </w:rPr>
              <w:t xml:space="preserve">Answer</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Ownership structure</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FriggTec AS holds 85.0 %, external investors 15.0 %, across 117 648 shares — established with high confidence from the registry</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Last priced round</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22 September 2025, 15 % of the company. Estimated NOK 5–7 m at a NOK 33–47 m post-money; central case NOK 6 m at NOK 40 m</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Market value today</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NOK 30–70 m, central NOK 45 m, or approximately NOK 380 per share</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Formuesverdi</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A tax book calculation under § 4-12 / § 4-13 (2), measured at 1 Jan 2026 because of the September 2025 capital increase. Likely a small fraction of market value. Take the figure the company files in the shareholder register statement</w:t>
            </w:r>
          </w:p>
        </w:tc>
      </w:tr>
      <w:tr>
        <w:trPr>
          <w:tblHeader w:val="false"/>
        </w:trPr>
        <w:tc>
          <w:tcPr>
            <w:tcW w:type="dxa" w:w="330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Option strike price</w:t>
            </w:r>
          </w:p>
        </w:tc>
        <w:tc>
          <w:tcPr>
            <w:tcW w:type="dxa" w:w="6060"/>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Use the actual September 2025 subscription price, and grant sooner rather than later while that round is still recent</w:t>
            </w:r>
          </w:p>
        </w:tc>
      </w:tr>
      <w:tr>
        <w:trPr>
          <w:tblHeader w:val="false"/>
        </w:trPr>
        <w:tc>
          <w:tcPr>
            <w:tcW w:type="dxa" w:w="330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Main risk to you personally</w:t>
            </w:r>
          </w:p>
        </w:tc>
        <w:tc>
          <w:tcPr>
            <w:tcW w:type="dxa" w:w="6060"/>
            <w:shd w:fill="EDF3F4" w:color="auto" w:val="clear"/>
            <w:tcMar>
              <w:top w:type="dxa" w:w="70"/>
              <w:left w:type="dxa" w:w="110"/>
              <w:bottom w:type="dxa" w:w="70"/>
              <w:right w:type="dxa" w:w="110"/>
            </w:tcMar>
            <w:vAlign w:val="center"/>
          </w:tcPr>
          <w:p>
            <w:pPr>
              <w:spacing w:after="0" w:line="250"/>
              <w:jc w:val="left"/>
            </w:pPr>
            <w:r>
              <w:rPr>
                <w:rFonts w:ascii="Calibri" w:cs="Calibri" w:eastAsia="Calibri" w:hAnsi="Calibri"/>
                <w:color w:val="222629"/>
                <w:sz w:val="19"/>
                <w:szCs w:val="19"/>
              </w:rPr>
              <w:t xml:space="preserve">The 25-hour-per-week and employee conditions of the startup option scheme, if you are engaged part-time or as a consultant</w:t>
            </w:r>
          </w:p>
        </w:tc>
      </w:tr>
    </w:tbl>
    <w:p>
      <w:pPr>
        <w:pStyle w:val="Heading1"/>
        <w:pBdr>
          <w:bottom w:val="single" w:color="C9D6D9" w:sz="8" w:space="6"/>
        </w:pBdr>
        <w:spacing w:after="160" w:before="360"/>
      </w:pPr>
      <w:r>
        <w:rPr>
          <w:rFonts w:ascii="Calibri" w:cs="Calibri" w:eastAsia="Calibri" w:hAnsi="Calibri"/>
          <w:b/>
          <w:bCs/>
          <w:color w:val="0F4C5C"/>
          <w:sz w:val="27"/>
          <w:szCs w:val="27"/>
        </w:rPr>
        <w:t xml:space="preserve">Basis of preparation and limitations</w:t>
      </w:r>
    </w:p>
    <w:p>
      <w:pPr>
        <w:spacing w:after="140" w:line="276"/>
      </w:pPr>
      <w:r>
        <w:rPr>
          <w:rFonts w:ascii="Calibri" w:cs="Calibri" w:eastAsia="Calibri" w:hAnsi="Calibri"/>
          <w:color w:val="222629"/>
          <w:sz w:val="21"/>
          <w:szCs w:val="21"/>
        </w:rPr>
        <w:t xml:space="preserve">This paper was prepared on 8 August 2026 using the Brønnøysund registry extract dated 2 August 2026, the FriggTec AS 2025 annual accounts, the SonoFit company website, and publicly reported information. SonoFit AS's own financial statements were not available and were not used.</w:t>
      </w:r>
    </w:p>
    <w:p>
      <w:pPr>
        <w:spacing w:after="140" w:line="276"/>
      </w:pPr>
      <w:r>
        <w:rPr>
          <w:rFonts w:ascii="Calibri" w:cs="Calibri" w:eastAsia="Calibri" w:hAnsi="Calibri"/>
          <w:color w:val="222629"/>
          <w:sz w:val="21"/>
          <w:szCs w:val="21"/>
        </w:rPr>
        <w:t xml:space="preserve">It is an indicative assessment prepared for internal discussion. It is not an independent valuation opinion, a fairness opinion, or tax or legal advice, and I am neither a financial adviser nor a tax lawyer. Material elements — the size of the September 2025 round, the company's cost base, and its tax net asset value — are estimates derived by inference and are explicitly labelled as such throughout. Any of them could be wrong, and the true figures are held by the company.</w:t>
      </w:r>
    </w:p>
    <w:p>
      <w:pPr>
        <w:spacing w:after="140" w:line="276"/>
      </w:pPr>
      <w:r>
        <w:rPr>
          <w:rFonts w:ascii="Calibri" w:cs="Calibri" w:eastAsia="Calibri" w:hAnsi="Calibri"/>
          <w:color w:val="222629"/>
          <w:sz w:val="21"/>
          <w:szCs w:val="21"/>
        </w:rPr>
        <w:t xml:space="preserve">Valuations of pre-revenue, pre-launch hardware companies are inherently uncertain, and the range presented here reflects genuine uncertainty rather than conservatism. Before this is relied on for a tax return, an option agreement, a share transaction or a discussion with existing shareholders, it should be reviewed by SonoFit's accountant and by a Norwegian tax adviser, and the underlying figures verified against the company's actual accounts.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spacing w:after="0"/>
      <w:jc w:val="right"/>
    </w:pPr>
    <w:r>
      <w:rPr>
        <w:rFonts w:ascii="Calibri" w:cs="Calibri" w:eastAsia="Calibri" w:hAnsi="Calibri"/>
        <w:color w:val="5A6068"/>
        <w:sz w:val="16"/>
        <w:szCs w:val="16"/>
      </w:rPr>
      <w:t xml:space="preserve">SonoFit AS — Indicative Valuation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SonoFit AS - Indicative Valuation Assessment</dc:title>
  <dc:creator>Valuation working paper</dc:creator>
  <cp:lastModifiedBy>Un-named</cp:lastModifiedBy>
  <cp:revision>1</cp:revision>
  <dcterms:created xsi:type="dcterms:W3CDTF">2026-08-08T17:37:29.069Z</dcterms:created>
  <dcterms:modified xsi:type="dcterms:W3CDTF">2026-08-08T17:37:29.069Z</dcterms:modified>
</cp:coreProperties>
</file>

<file path=docProps/custom.xml><?xml version="1.0" encoding="utf-8"?>
<Properties xmlns="http://schemas.openxmlformats.org/officeDocument/2006/custom-properties" xmlns:vt="http://schemas.openxmlformats.org/officeDocument/2006/docPropsVTypes"/>
</file>