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2110630" w:displacedByCustomXml="next"/>
    <w:sdt>
      <w:sdtPr>
        <w:id w:val="814532482"/>
        <w:docPartObj>
          <w:docPartGallery w:val="Cover Pages"/>
          <w:docPartUnique/>
        </w:docPartObj>
      </w:sdtPr>
      <w:sdtEndPr/>
      <w:sdtContent>
        <w:p w:rsidR="00245FBA" w:rsidRDefault="00245FBA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45FBA" w:rsidRDefault="001B3278" w:rsidP="00245FBA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5FBA">
                                      <w:rPr>
                                        <w:color w:val="44546A" w:themeColor="text2"/>
                                      </w:rPr>
                                      <w:t>Gilles Vasseur</w:t>
                                    </w:r>
                                  </w:sdtContent>
                                </w:sdt>
                                <w:r w:rsidR="00245FBA">
                                  <w:rPr>
                                    <w:color w:val="44546A" w:themeColor="text2"/>
                                  </w:rPr>
                                  <w:t xml:space="preserve"> © 2014-2015</w:t>
                                </w:r>
                              </w:p>
                              <w:p w:rsidR="00245FBA" w:rsidRDefault="00245FBA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245FBA" w:rsidRDefault="00245FBA" w:rsidP="00245FBA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Gilles Vasseur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© 2014-2015</w:t>
                          </w:r>
                        </w:p>
                        <w:p w:rsidR="00245FBA" w:rsidRDefault="00245FBA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5FBA" w:rsidRDefault="00245FB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245FBA" w:rsidRDefault="00245FB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5FBA" w:rsidRDefault="001B327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70835">
                                      <w:rPr>
                                        <w:color w:val="FFFFFF" w:themeColor="background1"/>
                                      </w:rPr>
                                      <w:t>Comment utiliser GVLOGO : depuis les menus jusqu’aux programmes avancés.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245FBA" w:rsidRDefault="00D6465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70835">
                                <w:rPr>
                                  <w:color w:val="FFFFFF" w:themeColor="background1"/>
                                </w:rPr>
                                <w:t>Comment utiliser GVLOGO : depuis les menus jusqu’aux programmes avancés.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38484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B1AB0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Titre1Car"/>
                                    <w:rFonts w:ascii="Cambria" w:hAnsi="Cambria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:rsidR="00245FBA" w:rsidRPr="00245FBA" w:rsidRDefault="00245FBA">
                                    <w:pPr>
                                      <w:spacing w:line="240" w:lineRule="auto"/>
                                      <w:rPr>
                                        <w:rStyle w:val="Titre1Car"/>
                                        <w:rFonts w:ascii="Cambria" w:hAnsi="Cambria"/>
                                        <w:sz w:val="72"/>
                                        <w:szCs w:val="72"/>
                                      </w:rPr>
                                    </w:pPr>
                                    <w:r w:rsidRPr="00245FBA">
                                      <w:rPr>
                                        <w:rStyle w:val="Titre1Car"/>
                                        <w:rFonts w:ascii="Cambria" w:hAnsi="Cambria"/>
                                        <w:sz w:val="72"/>
                                        <w:szCs w:val="72"/>
                                      </w:rPr>
                                      <w:t>GVLOGO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mbria" w:eastAsiaTheme="majorEastAsia" w:hAnsi="Cambria" w:cstheme="majorBidi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45FBA" w:rsidRDefault="00245FB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245FBA">
                                      <w:rPr>
                                        <w:rFonts w:ascii="Cambria" w:eastAsiaTheme="majorEastAsia" w:hAnsi="Cambria" w:cstheme="majorBidi"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Mode d’emploi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Titre1Car"/>
                              <w:rFonts w:ascii="Cambria" w:hAnsi="Cambria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45FBA" w:rsidRPr="00245FBA" w:rsidRDefault="00245FBA">
                              <w:pPr>
                                <w:spacing w:line="240" w:lineRule="auto"/>
                                <w:rPr>
                                  <w:rStyle w:val="Titre1Car"/>
                                  <w:rFonts w:ascii="Cambria" w:hAnsi="Cambria"/>
                                  <w:sz w:val="72"/>
                                  <w:szCs w:val="72"/>
                                </w:rPr>
                              </w:pPr>
                              <w:r w:rsidRPr="00245FBA">
                                <w:rPr>
                                  <w:rStyle w:val="Titre1Car"/>
                                  <w:rFonts w:ascii="Cambria" w:hAnsi="Cambria"/>
                                  <w:sz w:val="72"/>
                                  <w:szCs w:val="72"/>
                                </w:rPr>
                                <w:t>GVLOGO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ambria" w:eastAsiaTheme="majorEastAsia" w:hAnsi="Cambria" w:cstheme="majorBidi"/>
                              <w:color w:val="5B9BD5" w:themeColor="accent1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45FBA" w:rsidRDefault="00245FB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245FBA">
                                <w:rPr>
                                  <w:rFonts w:ascii="Cambria" w:eastAsiaTheme="majorEastAsia" w:hAnsi="Cambria" w:cstheme="majorBidi"/>
                                  <w:color w:val="5B9BD5" w:themeColor="accent1"/>
                                  <w:sz w:val="32"/>
                                  <w:szCs w:val="32"/>
                                </w:rPr>
                                <w:t>Mode d’emploi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45FBA" w:rsidRDefault="00245FBA">
          <w:pPr>
            <w:spacing w:before="0" w:after="160" w:line="259" w:lineRule="auto"/>
          </w:pPr>
          <w:r>
            <w:br w:type="page"/>
          </w:r>
        </w:p>
      </w:sdtContent>
    </w:sdt>
    <w:p w:rsidR="00245FBA" w:rsidRDefault="00245FBA" w:rsidP="00245FBA"/>
    <w:p w:rsidR="00245FBA" w:rsidRPr="00FA6134" w:rsidRDefault="00245FBA" w:rsidP="00245FBA">
      <w:pPr>
        <w:pStyle w:val="Titre1"/>
        <w:tabs>
          <w:tab w:val="center" w:pos="4536"/>
        </w:tabs>
        <w:rPr>
          <w:sz w:val="32"/>
          <w:szCs w:val="32"/>
        </w:rPr>
      </w:pPr>
      <w:r>
        <w:tab/>
      </w:r>
      <w:r w:rsidRPr="00FA6134">
        <w:rPr>
          <w:sz w:val="32"/>
          <w:szCs w:val="32"/>
        </w:rPr>
        <w:t>Mode d’emploi de GVLOGO</w:t>
      </w:r>
      <w:bookmarkEnd w:id="0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245FBA">
      <w:pPr>
        <w:pStyle w:val="Titre2"/>
      </w:pPr>
      <w:bookmarkStart w:id="1" w:name="_Toc412110631"/>
      <w:r w:rsidRPr="008050E0">
        <w:t>Installer GVLOGO</w:t>
      </w:r>
      <w:bookmarkEnd w:id="1"/>
    </w:p>
    <w:p w:rsidR="00245FBA" w:rsidRPr="008050E0" w:rsidRDefault="00245FBA" w:rsidP="00245FBA">
      <w:pPr>
        <w:rPr>
          <w:sz w:val="22"/>
          <w:szCs w:val="22"/>
        </w:rPr>
      </w:pPr>
    </w:p>
    <w:p w:rsidR="00FA6134" w:rsidRDefault="00FA6134" w:rsidP="00245FBA">
      <w:pPr>
        <w:pStyle w:val="Titre2"/>
      </w:pPr>
      <w:bookmarkStart w:id="2" w:name="_Toc412110632"/>
      <w:r>
        <w:t>L’</w:t>
      </w:r>
      <w:r w:rsidR="00245FBA" w:rsidRPr="008050E0">
        <w:t>Interface</w:t>
      </w:r>
    </w:p>
    <w:p w:rsidR="00FA6134" w:rsidRDefault="00FA6134" w:rsidP="00FA6134"/>
    <w:p w:rsidR="00245FBA" w:rsidRPr="008050E0" w:rsidRDefault="00FA6134" w:rsidP="00245FBA">
      <w:pPr>
        <w:pStyle w:val="Titre2"/>
      </w:pPr>
      <w:r>
        <w:t>Les</w:t>
      </w:r>
      <w:r w:rsidR="00245FBA" w:rsidRPr="008050E0">
        <w:t xml:space="preserve"> menus</w:t>
      </w:r>
      <w:bookmarkEnd w:id="2"/>
    </w:p>
    <w:p w:rsidR="00245FBA" w:rsidRDefault="00245FBA" w:rsidP="00245FBA">
      <w:pPr>
        <w:pStyle w:val="Titre3"/>
      </w:pPr>
      <w:bookmarkStart w:id="3" w:name="_Toc412110633"/>
      <w:r>
        <w:t>Menu Fichier</w:t>
      </w:r>
      <w:bookmarkEnd w:id="3"/>
    </w:p>
    <w:p w:rsidR="00245FBA" w:rsidRPr="00611CBC" w:rsidRDefault="00245FBA" w:rsidP="00245FBA"/>
    <w:p w:rsidR="00245FBA" w:rsidRDefault="00245FBA" w:rsidP="00245FBA">
      <w:pPr>
        <w:pStyle w:val="Titre3"/>
      </w:pPr>
      <w:bookmarkStart w:id="4" w:name="_Toc412110634"/>
      <w:r>
        <w:t>Menu Editer</w:t>
      </w:r>
      <w:bookmarkEnd w:id="4"/>
    </w:p>
    <w:p w:rsidR="00245FBA" w:rsidRPr="00611CBC" w:rsidRDefault="00245FBA" w:rsidP="00245FBA"/>
    <w:p w:rsidR="00245FBA" w:rsidRDefault="00245FBA" w:rsidP="00245FBA">
      <w:pPr>
        <w:pStyle w:val="Titre3"/>
      </w:pPr>
      <w:bookmarkStart w:id="5" w:name="_Toc412110635"/>
      <w:r>
        <w:t>Menu Voir</w:t>
      </w:r>
      <w:bookmarkEnd w:id="5"/>
    </w:p>
    <w:p w:rsidR="00245FBA" w:rsidRPr="00611CBC" w:rsidRDefault="00245FBA" w:rsidP="00245FBA"/>
    <w:p w:rsidR="00245FBA" w:rsidRDefault="00245FBA" w:rsidP="00245FBA">
      <w:pPr>
        <w:pStyle w:val="Titre3"/>
      </w:pPr>
      <w:bookmarkStart w:id="6" w:name="_Toc412110636"/>
      <w:r>
        <w:t>Menu Exécuter</w:t>
      </w:r>
      <w:bookmarkEnd w:id="6"/>
    </w:p>
    <w:p w:rsidR="00245FBA" w:rsidRPr="00611CBC" w:rsidRDefault="00245FBA" w:rsidP="00245FBA"/>
    <w:p w:rsidR="00245FBA" w:rsidRDefault="00245FBA" w:rsidP="00245FBA">
      <w:pPr>
        <w:pStyle w:val="Titre3"/>
      </w:pPr>
      <w:bookmarkStart w:id="7" w:name="_Toc412110637"/>
      <w:r>
        <w:t>Menu Fenêtres</w:t>
      </w:r>
      <w:bookmarkEnd w:id="7"/>
    </w:p>
    <w:p w:rsidR="00245FBA" w:rsidRPr="00611CBC" w:rsidRDefault="00245FBA" w:rsidP="00245FBA"/>
    <w:p w:rsidR="00245FBA" w:rsidRDefault="00245FBA" w:rsidP="00245FBA">
      <w:pPr>
        <w:pStyle w:val="Titre3"/>
      </w:pPr>
      <w:bookmarkStart w:id="8" w:name="_Toc412110638"/>
      <w:r>
        <w:t>Menu Aide</w:t>
      </w:r>
      <w:bookmarkEnd w:id="8"/>
    </w:p>
    <w:p w:rsidR="00245FBA" w:rsidRPr="00611CBC" w:rsidRDefault="00245FBA" w:rsidP="00245FBA"/>
    <w:p w:rsidR="00245FBA" w:rsidRDefault="00245FBA" w:rsidP="00245FBA">
      <w:pPr>
        <w:pStyle w:val="Titre3"/>
      </w:pPr>
      <w:bookmarkStart w:id="9" w:name="_Toc412110639"/>
      <w:r>
        <w:t>Les boutons</w:t>
      </w:r>
      <w:bookmarkEnd w:id="9"/>
    </w:p>
    <w:p w:rsidR="00245FBA" w:rsidRDefault="00245FBA" w:rsidP="00245FBA"/>
    <w:p w:rsidR="00FA6134" w:rsidRPr="00611CBC" w:rsidRDefault="00FA6134" w:rsidP="00FA6134">
      <w:pPr>
        <w:pStyle w:val="Titre2"/>
      </w:pPr>
      <w:r>
        <w:t>Travailler avec GVLOGO</w:t>
      </w:r>
    </w:p>
    <w:p w:rsidR="00245FBA" w:rsidRPr="008050E0" w:rsidRDefault="00245FBA" w:rsidP="00FA6134">
      <w:pPr>
        <w:pStyle w:val="Titre3"/>
      </w:pPr>
      <w:bookmarkStart w:id="10" w:name="_Toc412110640"/>
      <w:r w:rsidRPr="008050E0">
        <w:t>Créer un programme</w:t>
      </w:r>
      <w:bookmarkEnd w:id="10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FA6134">
      <w:pPr>
        <w:pStyle w:val="Titre3"/>
      </w:pPr>
      <w:bookmarkStart w:id="11" w:name="_Toc412110641"/>
      <w:r w:rsidRPr="008050E0">
        <w:t>Exécuter un programme</w:t>
      </w:r>
      <w:bookmarkEnd w:id="11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FA6134">
      <w:pPr>
        <w:pStyle w:val="Titre3"/>
      </w:pPr>
      <w:bookmarkStart w:id="12" w:name="_Toc412110642"/>
      <w:r w:rsidRPr="008050E0">
        <w:t>Sauvegarder et récupérer un programme</w:t>
      </w:r>
      <w:bookmarkEnd w:id="12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FA6134">
      <w:pPr>
        <w:pStyle w:val="Titre3"/>
      </w:pPr>
      <w:bookmarkStart w:id="13" w:name="_Toc412110643"/>
      <w:r w:rsidRPr="008050E0">
        <w:t>Modifier un programme</w:t>
      </w:r>
      <w:bookmarkEnd w:id="13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FA6134">
      <w:pPr>
        <w:pStyle w:val="Titre3"/>
      </w:pPr>
      <w:bookmarkStart w:id="14" w:name="_Toc412110644"/>
      <w:r w:rsidRPr="008050E0">
        <w:t>Les messages d’erreur</w:t>
      </w:r>
      <w:bookmarkEnd w:id="14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FA6134">
      <w:pPr>
        <w:pStyle w:val="Titre3"/>
      </w:pPr>
      <w:bookmarkStart w:id="15" w:name="_Toc412110645"/>
      <w:r w:rsidRPr="008050E0">
        <w:t>Le débogage</w:t>
      </w:r>
      <w:bookmarkEnd w:id="15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FA6134">
      <w:pPr>
        <w:pStyle w:val="Titre3"/>
      </w:pPr>
      <w:bookmarkStart w:id="16" w:name="_Toc412110646"/>
      <w:r w:rsidRPr="008050E0">
        <w:t>Mettre à j</w:t>
      </w:r>
      <w:bookmarkStart w:id="17" w:name="_GoBack"/>
      <w:bookmarkEnd w:id="17"/>
      <w:r w:rsidRPr="008050E0">
        <w:t>our le logiciel</w:t>
      </w:r>
      <w:bookmarkEnd w:id="16"/>
    </w:p>
    <w:p w:rsidR="00245FBA" w:rsidRPr="008050E0" w:rsidRDefault="00245FBA" w:rsidP="00245FBA">
      <w:pPr>
        <w:rPr>
          <w:sz w:val="22"/>
          <w:szCs w:val="22"/>
        </w:rPr>
      </w:pPr>
      <w:r w:rsidRPr="008050E0">
        <w:rPr>
          <w:sz w:val="22"/>
          <w:szCs w:val="22"/>
        </w:rPr>
        <w:br w:type="page"/>
      </w:r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FA6134" w:rsidRDefault="00245FBA" w:rsidP="00245FBA">
      <w:pPr>
        <w:pStyle w:val="Titre1"/>
        <w:jc w:val="center"/>
        <w:rPr>
          <w:sz w:val="32"/>
          <w:szCs w:val="32"/>
        </w:rPr>
      </w:pPr>
      <w:bookmarkStart w:id="18" w:name="_Toc412110647"/>
      <w:r w:rsidRPr="00FA6134">
        <w:rPr>
          <w:sz w:val="32"/>
          <w:szCs w:val="32"/>
        </w:rPr>
        <w:t>Programmes exemples</w:t>
      </w:r>
      <w:bookmarkEnd w:id="18"/>
    </w:p>
    <w:p w:rsidR="00245FBA" w:rsidRDefault="00245FBA" w:rsidP="00245FBA">
      <w:pPr>
        <w:pStyle w:val="Titre2"/>
      </w:pPr>
      <w:bookmarkStart w:id="19" w:name="_Toc412110648"/>
      <w:r>
        <w:t>Travailler avec la tortue</w:t>
      </w:r>
      <w:bookmarkEnd w:id="19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245FBA">
      <w:pPr>
        <w:pStyle w:val="Titre2"/>
      </w:pPr>
      <w:bookmarkStart w:id="20" w:name="_Toc412110649"/>
      <w:r w:rsidRPr="008050E0">
        <w:t>Travailler avec les listes</w:t>
      </w:r>
      <w:bookmarkEnd w:id="20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245FBA">
      <w:pPr>
        <w:pStyle w:val="Titre2"/>
      </w:pPr>
      <w:bookmarkStart w:id="21" w:name="_Toc412110650"/>
      <w:r w:rsidRPr="008050E0">
        <w:t>Travailler avec les listes de propriétés</w:t>
      </w:r>
      <w:bookmarkEnd w:id="21"/>
    </w:p>
    <w:p w:rsidR="00245FBA" w:rsidRPr="008050E0" w:rsidRDefault="00245FBA" w:rsidP="00245FBA">
      <w:pPr>
        <w:rPr>
          <w:sz w:val="22"/>
          <w:szCs w:val="22"/>
        </w:rPr>
      </w:pPr>
    </w:p>
    <w:p w:rsidR="00245FBA" w:rsidRPr="008050E0" w:rsidRDefault="00245FBA" w:rsidP="00245FBA">
      <w:pPr>
        <w:pStyle w:val="Titre2"/>
      </w:pPr>
      <w:bookmarkStart w:id="22" w:name="_Toc412110651"/>
      <w:r w:rsidRPr="008050E0">
        <w:t>Manipuler l’espace de travail</w:t>
      </w:r>
      <w:bookmarkEnd w:id="22"/>
    </w:p>
    <w:p w:rsidR="00245FBA" w:rsidRPr="008050E0" w:rsidRDefault="00245FBA" w:rsidP="00245FBA">
      <w:pPr>
        <w:rPr>
          <w:sz w:val="22"/>
          <w:szCs w:val="22"/>
        </w:rPr>
      </w:pPr>
    </w:p>
    <w:p w:rsidR="00CD129A" w:rsidRDefault="00CD129A"/>
    <w:sectPr w:rsidR="00CD129A" w:rsidSect="00245FB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278" w:rsidRDefault="001B3278" w:rsidP="00245FBA">
      <w:pPr>
        <w:spacing w:before="0" w:after="0" w:line="240" w:lineRule="auto"/>
      </w:pPr>
      <w:r>
        <w:separator/>
      </w:r>
    </w:p>
  </w:endnote>
  <w:endnote w:type="continuationSeparator" w:id="0">
    <w:p w:rsidR="001B3278" w:rsidRDefault="001B3278" w:rsidP="00245F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278" w:rsidRDefault="001B3278" w:rsidP="00245FBA">
      <w:pPr>
        <w:spacing w:before="0" w:after="0" w:line="240" w:lineRule="auto"/>
      </w:pPr>
      <w:r>
        <w:separator/>
      </w:r>
    </w:p>
  </w:footnote>
  <w:footnote w:type="continuationSeparator" w:id="0">
    <w:p w:rsidR="001B3278" w:rsidRDefault="001B3278" w:rsidP="00245FB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BA"/>
    <w:rsid w:val="001B3278"/>
    <w:rsid w:val="00245FBA"/>
    <w:rsid w:val="00370835"/>
    <w:rsid w:val="004E1DF0"/>
    <w:rsid w:val="00CD129A"/>
    <w:rsid w:val="00D64654"/>
    <w:rsid w:val="00DD63C0"/>
    <w:rsid w:val="00FA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EAE35-6B78-4FD0-8EBE-655EB530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FBA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45FB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5FB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5FBA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FBA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245FBA"/>
    <w:rPr>
      <w:rFonts w:eastAsiaTheme="minorEastAsia"/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45FBA"/>
    <w:rPr>
      <w:rFonts w:eastAsiaTheme="minorEastAsia"/>
      <w:caps/>
      <w:color w:val="1F4D78" w:themeColor="accent1" w:themeShade="7F"/>
      <w:spacing w:val="15"/>
    </w:rPr>
  </w:style>
  <w:style w:type="paragraph" w:styleId="En-tte">
    <w:name w:val="header"/>
    <w:basedOn w:val="Normal"/>
    <w:link w:val="En-tteCar"/>
    <w:uiPriority w:val="99"/>
    <w:unhideWhenUsed/>
    <w:rsid w:val="00245FB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FBA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245FB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FBA"/>
    <w:rPr>
      <w:rFonts w:eastAsiaTheme="minorEastAsia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245FB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5FB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Comment utiliser GVLOGO : depuis les menus jusqu’aux programmes avancés.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GVLOGO</dc:title>
  <dc:subject>Mode d’emploi</dc:subject>
  <dc:creator>Gilles Vasseur</dc:creator>
  <cp:keywords/>
  <dc:description/>
  <cp:lastModifiedBy>gilles vasseur</cp:lastModifiedBy>
  <cp:revision>3</cp:revision>
  <dcterms:created xsi:type="dcterms:W3CDTF">2015-02-19T18:06:00Z</dcterms:created>
  <dcterms:modified xsi:type="dcterms:W3CDTF">2015-02-19T21:07:00Z</dcterms:modified>
</cp:coreProperties>
</file>