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intelligent-demand-sensing-ids"/>
    <w:p>
      <w:pPr>
        <w:pStyle w:val="Heading1"/>
      </w:pPr>
      <w:r>
        <w:t xml:space="preserve">Intelligent Demand Sensing (IDS)</w:t>
      </w:r>
    </w:p>
    <w:bookmarkStart w:id="20" w:name="X477b8e878d2645f3e6abd3d6e890d6d5ae1fd7f"/>
    <w:p>
      <w:pPr>
        <w:pStyle w:val="Heading2"/>
      </w:pPr>
      <w:r>
        <w:t xml:space="preserve">Enterprise-Grade Project Foundation &amp; Schema Utilities Reference</w:t>
      </w:r>
    </w:p>
    <w:p>
      <w:r>
        <w:pict>
          <v:rect style="width:0;height:1.5pt" o:hralign="center" o:hrstd="t" o:hr="t"/>
        </w:pict>
      </w:r>
    </w:p>
    <w:bookmarkEnd w:id="20"/>
    <w:bookmarkStart w:id="21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document is a</w:t>
      </w:r>
      <w:r>
        <w:t xml:space="preserve"> </w:t>
      </w:r>
      <w:r>
        <w:rPr>
          <w:b/>
          <w:bCs/>
        </w:rPr>
        <w:t xml:space="preserve">strict, consolidated, and professional reference</w:t>
      </w:r>
      <w:r>
        <w:t xml:space="preserve"> </w:t>
      </w:r>
      <w:r>
        <w:t xml:space="preserve">capturing all</w:t>
      </w:r>
      <w:r>
        <w:t xml:space="preserve"> </w:t>
      </w:r>
      <w:r>
        <w:rPr>
          <w:b/>
          <w:bCs/>
        </w:rPr>
        <w:t xml:space="preserve">finalized and frozen decisions</w:t>
      </w:r>
      <w:r>
        <w:t xml:space="preserve"> </w:t>
      </w:r>
      <w:r>
        <w:t xml:space="preserve">made during the initial phases of the</w:t>
      </w:r>
      <w:r>
        <w:t xml:space="preserve"> </w:t>
      </w:r>
      <w:r>
        <w:rPr>
          <w:i/>
          <w:iCs/>
        </w:rPr>
        <w:t xml:space="preserve">Intelligent Demand Sensing &amp; Autonomous Inventory Planning (IDS)</w:t>
      </w:r>
      <w:r>
        <w:t xml:space="preserve"> </w:t>
      </w:r>
      <w:r>
        <w:t xml:space="preserve">project.</w:t>
      </w:r>
    </w:p>
    <w:p>
      <w:pPr>
        <w:pStyle w:val="BodyText"/>
      </w:pPr>
      <w:r>
        <w:t xml:space="preserve">It is designed to:</w:t>
      </w:r>
      <w:r>
        <w:t xml:space="preserve"> </w:t>
      </w:r>
      <w:r>
        <w:t xml:space="preserve">- Serve as a</w:t>
      </w:r>
      <w:r>
        <w:t xml:space="preserve"> </w:t>
      </w:r>
      <w:r>
        <w:rPr>
          <w:b/>
          <w:bCs/>
        </w:rPr>
        <w:t xml:space="preserve">reusable blueprint</w:t>
      </w:r>
      <w:r>
        <w:t xml:space="preserve"> </w:t>
      </w:r>
      <w:r>
        <w:t xml:space="preserve">for future enterprise ML/AI projects</w:t>
      </w:r>
      <w:r>
        <w:t xml:space="preserve"> </w:t>
      </w:r>
      <w:r>
        <w:t xml:space="preserve">- Help explain architectural and design decisions in</w:t>
      </w:r>
      <w:r>
        <w:t xml:space="preserve"> </w:t>
      </w:r>
      <w:r>
        <w:rPr>
          <w:b/>
          <w:bCs/>
        </w:rPr>
        <w:t xml:space="preserve">interviews and reviews</w:t>
      </w:r>
      <w:r>
        <w:t xml:space="preserve"> </w:t>
      </w:r>
      <w:r>
        <w:t xml:space="preserve">- Preserve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decisions were made, not just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was implemented</w:t>
      </w:r>
    </w:p>
    <w:p>
      <w:pPr>
        <w:pStyle w:val="BodyText"/>
      </w:pPr>
      <w:r>
        <w:t xml:space="preserve">Only</w:t>
      </w:r>
      <w:r>
        <w:t xml:space="preserve"> </w:t>
      </w:r>
      <w:r>
        <w:rPr>
          <w:b/>
          <w:bCs/>
        </w:rPr>
        <w:t xml:space="preserve">approved, frozen, and non-duplicative content</w:t>
      </w:r>
      <w:r>
        <w:t xml:space="preserve"> </w:t>
      </w:r>
      <w:r>
        <w:t xml:space="preserve">is included.</w:t>
      </w:r>
    </w:p>
    <w:p>
      <w:r>
        <w:pict>
          <v:rect style="width:0;height:1.5pt" o:hralign="center" o:hrstd="t" o:hr="t"/>
        </w:pict>
      </w:r>
    </w:p>
    <w:bookmarkEnd w:id="21"/>
    <w:bookmarkStart w:id="24" w:name="project-philosophy-frozen"/>
    <w:p>
      <w:pPr>
        <w:pStyle w:val="Heading2"/>
      </w:pPr>
      <w:r>
        <w:t xml:space="preserve">2. Project Philosophy (Frozen)</w:t>
      </w:r>
    </w:p>
    <w:bookmarkStart w:id="22" w:name="industry-alignment"/>
    <w:p>
      <w:pPr>
        <w:pStyle w:val="Heading3"/>
      </w:pPr>
      <w:r>
        <w:t xml:space="preserve">2.1 Industry Alignment</w:t>
      </w:r>
    </w:p>
    <w:p>
      <w:pPr>
        <w:pStyle w:val="FirstParagraph"/>
      </w:pPr>
      <w:r>
        <w:t xml:space="preserve">The IDS project is treated as a</w:t>
      </w:r>
      <w:r>
        <w:t xml:space="preserve"> </w:t>
      </w:r>
      <w:r>
        <w:rPr>
          <w:b/>
          <w:bCs/>
        </w:rPr>
        <w:t xml:space="preserve">real enterprise system</w:t>
      </w:r>
      <w:r>
        <w:t xml:space="preserve">, not a demo or tutorial.</w:t>
      </w:r>
    </w:p>
    <w:p>
      <w:pPr>
        <w:pStyle w:val="BodyText"/>
      </w:pPr>
      <w:r>
        <w:t xml:space="preserve">Key principles:</w:t>
      </w:r>
      <w:r>
        <w:t xml:space="preserve"> </w:t>
      </w:r>
      <w:r>
        <w:t xml:space="preserve">- Config-driven design</w:t>
      </w:r>
      <w:r>
        <w:t xml:space="preserve"> </w:t>
      </w:r>
      <w:r>
        <w:t xml:space="preserve">- Defensive programming</w:t>
      </w:r>
      <w:r>
        <w:t xml:space="preserve"> </w:t>
      </w:r>
      <w:r>
        <w:t xml:space="preserve">- Clear fault isolation</w:t>
      </w:r>
      <w:r>
        <w:t xml:space="preserve"> </w:t>
      </w:r>
      <w:r>
        <w:t xml:space="preserve">- Reusability across projects</w:t>
      </w:r>
      <w:r>
        <w:t xml:space="preserve"> </w:t>
      </w:r>
      <w:r>
        <w:t xml:space="preserve">- Interview-defensible decisions</w:t>
      </w:r>
    </w:p>
    <w:bookmarkEnd w:id="22"/>
    <w:bookmarkStart w:id="23" w:name="teaching-quality-standards"/>
    <w:p>
      <w:pPr>
        <w:pStyle w:val="Heading3"/>
      </w:pPr>
      <w:r>
        <w:t xml:space="preserve">2.2 Teaching &amp; Quality Standards</w:t>
      </w:r>
    </w:p>
    <w:p>
      <w:pPr>
        <w:pStyle w:val="Compact"/>
        <w:numPr>
          <w:ilvl w:val="0"/>
          <w:numId w:val="1001"/>
        </w:numPr>
      </w:pPr>
      <w:r>
        <w:t xml:space="preserve">Assume fresher-level engineer</w:t>
      </w:r>
    </w:p>
    <w:p>
      <w:pPr>
        <w:pStyle w:val="Compact"/>
        <w:numPr>
          <w:ilvl w:val="0"/>
          <w:numId w:val="1001"/>
        </w:numPr>
      </w:pPr>
      <w:r>
        <w:t xml:space="preserve">Enforce senior/enterprise standards</w:t>
      </w:r>
    </w:p>
    <w:p>
      <w:pPr>
        <w:pStyle w:val="Compact"/>
        <w:numPr>
          <w:ilvl w:val="0"/>
          <w:numId w:val="1001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 → WHAT → HOW</w:t>
      </w:r>
      <w:r>
        <w:t xml:space="preserve"> </w:t>
      </w:r>
      <w:r>
        <w:t xml:space="preserve">before implementation</w:t>
      </w:r>
    </w:p>
    <w:p>
      <w:pPr>
        <w:pStyle w:val="Compact"/>
        <w:numPr>
          <w:ilvl w:val="0"/>
          <w:numId w:val="1001"/>
        </w:numPr>
      </w:pPr>
      <w:r>
        <w:t xml:space="preserve">No silent assumptions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final-frozen-repository-architecture"/>
    <w:p>
      <w:pPr>
        <w:pStyle w:val="Heading2"/>
      </w:pPr>
      <w:r>
        <w:t xml:space="preserve">3. Final &amp; Frozen Repository Architecture</w:t>
      </w:r>
    </w:p>
    <w:p>
      <w:pPr>
        <w:pStyle w:val="SourceCode"/>
      </w:pPr>
      <w:r>
        <w:rPr>
          <w:rStyle w:val="VerbatimChar"/>
        </w:rPr>
        <w:t xml:space="preserve">intelligent-demand-sensing/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ingestion01/</w:t>
      </w:r>
      <w:r>
        <w:br/>
      </w:r>
      <w:r>
        <w:rPr>
          <w:rStyle w:val="VerbatimChar"/>
        </w:rPr>
        <w:t xml:space="preserve">│   ├── features02/</w:t>
      </w:r>
      <w:r>
        <w:br/>
      </w:r>
      <w:r>
        <w:rPr>
          <w:rStyle w:val="VerbatimChar"/>
        </w:rPr>
        <w:t xml:space="preserve">│   ├── models03/</w:t>
      </w:r>
      <w:r>
        <w:br/>
      </w:r>
      <w:r>
        <w:rPr>
          <w:rStyle w:val="VerbatimChar"/>
        </w:rPr>
        <w:t xml:space="preserve">│   ├── inventory04/</w:t>
      </w:r>
      <w:r>
        <w:br/>
      </w:r>
      <w:r>
        <w:rPr>
          <w:rStyle w:val="VerbatimChar"/>
        </w:rPr>
        <w:t xml:space="preserve">│   ├── llm05/</w:t>
      </w:r>
      <w:r>
        <w:br/>
      </w:r>
      <w:r>
        <w:rPr>
          <w:rStyle w:val="VerbatimChar"/>
        </w:rPr>
        <w:t xml:space="preserve">│   ├── pipelines/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config_loader.py</w:t>
      </w:r>
      <w:r>
        <w:br/>
      </w:r>
      <w:r>
        <w:rPr>
          <w:rStyle w:val="VerbatimChar"/>
        </w:rPr>
        <w:t xml:space="preserve">│       └── schema_utils.py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└── processed/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config.yaml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environment/</w:t>
      </w:r>
    </w:p>
    <w:bookmarkStart w:id="25" w:name="architectural-rules-immutable"/>
    <w:p>
      <w:pPr>
        <w:pStyle w:val="Heading3"/>
      </w:pPr>
      <w:r>
        <w:t xml:space="preserve">Architectural Rules (Immutable)</w:t>
      </w:r>
    </w:p>
    <w:p>
      <w:pPr>
        <w:pStyle w:val="Compact"/>
        <w:numPr>
          <w:ilvl w:val="0"/>
          <w:numId w:val="1002"/>
        </w:numPr>
      </w:pPr>
      <w:r>
        <w:t xml:space="preserve">Architecture is</w:t>
      </w:r>
      <w:r>
        <w:t xml:space="preserve"> </w:t>
      </w:r>
      <w:r>
        <w:rPr>
          <w:b/>
          <w:bCs/>
        </w:rPr>
        <w:t xml:space="preserve">final and frozen</w:t>
      </w:r>
    </w:p>
    <w:p>
      <w:pPr>
        <w:pStyle w:val="Compact"/>
        <w:numPr>
          <w:ilvl w:val="0"/>
          <w:numId w:val="1002"/>
        </w:numPr>
      </w:pPr>
      <w:r>
        <w:t xml:space="preserve">No cross-layer imports (e.g., models importing ingestion)</w:t>
      </w:r>
    </w:p>
    <w:p>
      <w:pPr>
        <w:pStyle w:val="Compact"/>
        <w:numPr>
          <w:ilvl w:val="0"/>
          <w:numId w:val="1002"/>
        </w:numPr>
      </w:pPr>
      <w:r>
        <w:t xml:space="preserve">Utilities must be</w:t>
      </w:r>
      <w:r>
        <w:t xml:space="preserve"> </w:t>
      </w:r>
      <w:r>
        <w:rPr>
          <w:b/>
          <w:bCs/>
        </w:rPr>
        <w:t xml:space="preserve">generic and reusable</w:t>
      </w:r>
    </w:p>
    <w:p>
      <w:pPr>
        <w:pStyle w:val="Compact"/>
        <w:numPr>
          <w:ilvl w:val="0"/>
          <w:numId w:val="1002"/>
        </w:numPr>
      </w:pPr>
      <w:r>
        <w:t xml:space="preserve">I/O and logic must be separated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environment-setup-finalized"/>
    <w:p>
      <w:pPr>
        <w:pStyle w:val="Heading2"/>
      </w:pPr>
      <w:r>
        <w:t xml:space="preserve">4. Environment &amp; Setup (Finalized)</w:t>
      </w:r>
    </w:p>
    <w:bookmarkStart w:id="27" w:name="environment-management"/>
    <w:p>
      <w:pPr>
        <w:pStyle w:val="Heading3"/>
      </w:pPr>
      <w:r>
        <w:t xml:space="preserve">4.1 Environment Management</w:t>
      </w:r>
    </w:p>
    <w:p>
      <w:pPr>
        <w:pStyle w:val="Compact"/>
        <w:numPr>
          <w:ilvl w:val="0"/>
          <w:numId w:val="1003"/>
        </w:numPr>
      </w:pPr>
      <w:r>
        <w:t xml:space="preserve">Conda-based virtual environment</w:t>
      </w:r>
    </w:p>
    <w:p>
      <w:pPr>
        <w:pStyle w:val="Compact"/>
        <w:numPr>
          <w:ilvl w:val="0"/>
          <w:numId w:val="1003"/>
        </w:numPr>
      </w:pPr>
      <w:r>
        <w:t xml:space="preserve">Python 3.11</w:t>
      </w:r>
    </w:p>
    <w:p>
      <w:pPr>
        <w:pStyle w:val="Compact"/>
        <w:numPr>
          <w:ilvl w:val="0"/>
          <w:numId w:val="1003"/>
        </w:numPr>
      </w:pPr>
      <w:r>
        <w:t xml:space="preserve">Environment verified and frozen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- Reproducibility</w:t>
      </w:r>
      <w:r>
        <w:t xml:space="preserve"> </w:t>
      </w:r>
      <w:r>
        <w:t xml:space="preserve">- Version isolation</w:t>
      </w:r>
      <w:r>
        <w:t xml:space="preserve"> </w:t>
      </w:r>
      <w:r>
        <w:t xml:space="preserve">- Enterprise hygiene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centralized-configuration-management"/>
    <w:p>
      <w:pPr>
        <w:pStyle w:val="Heading2"/>
      </w:pPr>
      <w:r>
        <w:t xml:space="preserve">5. Centralized Configuration Management</w:t>
      </w:r>
    </w:p>
    <w:bookmarkStart w:id="29" w:name="why-a-central-config-loader-exists"/>
    <w:p>
      <w:pPr>
        <w:pStyle w:val="Heading3"/>
      </w:pPr>
      <w:r>
        <w:t xml:space="preserve">5.1 Why a Central Config Loader Exists</w:t>
      </w:r>
    </w:p>
    <w:p>
      <w:pPr>
        <w:pStyle w:val="FirstParagraph"/>
      </w:pPr>
      <w:r>
        <w:t xml:space="preserve">Without a centralized config loader:</w:t>
      </w:r>
      <w:r>
        <w:t xml:space="preserve"> </w:t>
      </w:r>
      <w:r>
        <w:t xml:space="preserve">- Configuration logic is duplicated</w:t>
      </w:r>
      <w:r>
        <w:t xml:space="preserve"> </w:t>
      </w:r>
      <w:r>
        <w:t xml:space="preserve">- Missing keys cause late-stage crashes</w:t>
      </w:r>
      <w:r>
        <w:t xml:space="preserve"> </w:t>
      </w:r>
      <w:r>
        <w:t xml:space="preserve">- Error messages are unclear</w:t>
      </w:r>
      <w:r>
        <w:t xml:space="preserve"> </w:t>
      </w:r>
      <w:r>
        <w:t xml:space="preserve">- Debugging becomes extremely difficult</w:t>
      </w:r>
    </w:p>
    <w:bookmarkEnd w:id="29"/>
    <w:bookmarkStart w:id="30" w:name="role-of-config_loader.py"/>
    <w:p>
      <w:pPr>
        <w:pStyle w:val="Heading3"/>
      </w:pPr>
      <w:r>
        <w:t xml:space="preserve">5.2 Role of</w:t>
      </w:r>
      <w:r>
        <w:t xml:space="preserve"> </w:t>
      </w:r>
      <w:r>
        <w:rPr>
          <w:rStyle w:val="VerbatimChar"/>
        </w:rPr>
        <w:t xml:space="preserve">config_loader.py</w:t>
      </w:r>
    </w:p>
    <w:p>
      <w:pPr>
        <w:pStyle w:val="FirstParagraph"/>
      </w:pPr>
      <w:r>
        <w:rPr>
          <w:rStyle w:val="VerbatimChar"/>
        </w:rPr>
        <w:t xml:space="preserve">config_loader.py</w:t>
      </w:r>
      <w:r>
        <w:t xml:space="preserve"> </w:t>
      </w:r>
      <w:r>
        <w:t xml:space="preserve">acts as a</w:t>
      </w:r>
      <w:r>
        <w:t xml:space="preserve"> </w:t>
      </w:r>
      <w:r>
        <w:rPr>
          <w:b/>
          <w:bCs/>
        </w:rPr>
        <w:t xml:space="preserve">trust boundary</w:t>
      </w:r>
      <w:r>
        <w:t xml:space="preserve"> </w:t>
      </w:r>
      <w:r>
        <w:t xml:space="preserve">between:</w:t>
      </w:r>
      <w:r>
        <w:t xml:space="preserve"> </w:t>
      </w:r>
      <w:r>
        <w:t xml:space="preserve">- External configuration (YAML)</w:t>
      </w:r>
      <w:r>
        <w:t xml:space="preserve"> </w:t>
      </w:r>
      <w:r>
        <w:t xml:space="preserve">- Internal system logic</w:t>
      </w:r>
    </w:p>
    <w:p>
      <w:pPr>
        <w:pStyle w:val="BodyText"/>
      </w:pPr>
      <w:r>
        <w:t xml:space="preserve">Its responsibilities:</w:t>
      </w:r>
      <w:r>
        <w:t xml:space="preserve"> </w:t>
      </w:r>
      <w:r>
        <w:t xml:space="preserve">- Load YAML configuration</w:t>
      </w:r>
      <w:r>
        <w:t xml:space="preserve"> </w:t>
      </w:r>
      <w:r>
        <w:t xml:space="preserve">- Validate required sections</w:t>
      </w:r>
      <w:r>
        <w:t xml:space="preserve"> </w:t>
      </w:r>
      <w:r>
        <w:t xml:space="preserve">- Fail fast with actionable errors</w:t>
      </w:r>
      <w:r>
        <w:t xml:space="preserve"> </w:t>
      </w:r>
      <w:r>
        <w:t xml:space="preserve">- Provide a single, safe config object</w:t>
      </w:r>
    </w:p>
    <w:bookmarkEnd w:id="30"/>
    <w:bookmarkStart w:id="31" w:name="design-rules-frozen"/>
    <w:p>
      <w:pPr>
        <w:pStyle w:val="Heading3"/>
      </w:pPr>
      <w:r>
        <w:t xml:space="preserve">5.3 Design Rules (Frozen)</w:t>
      </w:r>
    </w:p>
    <w:p>
      <w:pPr>
        <w:pStyle w:val="Compact"/>
        <w:numPr>
          <w:ilvl w:val="0"/>
          <w:numId w:val="1004"/>
        </w:numPr>
      </w:pPr>
      <w:r>
        <w:t xml:space="preserve">One loader for the entire system</w:t>
      </w:r>
    </w:p>
    <w:p>
      <w:pPr>
        <w:pStyle w:val="Compact"/>
        <w:numPr>
          <w:ilvl w:val="0"/>
          <w:numId w:val="1004"/>
        </w:numPr>
      </w:pPr>
      <w:r>
        <w:t xml:space="preserve">No pipeline reads YAML directly</w:t>
      </w:r>
    </w:p>
    <w:p>
      <w:pPr>
        <w:pStyle w:val="Compact"/>
        <w:numPr>
          <w:ilvl w:val="0"/>
          <w:numId w:val="1004"/>
        </w:numPr>
      </w:pPr>
      <w:r>
        <w:t xml:space="preserve">No silent defaults for critical values</w:t>
      </w:r>
    </w:p>
    <w:bookmarkEnd w:id="31"/>
    <w:bookmarkStart w:id="35" w:name="key-technical-concepts-clarified"/>
    <w:p>
      <w:pPr>
        <w:pStyle w:val="Heading3"/>
      </w:pPr>
      <w:r>
        <w:t xml:space="preserve">5.4 Key Technical Concepts Clarified</w:t>
      </w:r>
    </w:p>
    <w:bookmarkStart w:id="32" w:name="dictstr-any"/>
    <w:p>
      <w:pPr>
        <w:pStyle w:val="Heading4"/>
      </w:pPr>
      <w:r>
        <w:rPr>
          <w:rStyle w:val="VerbatimChar"/>
        </w:rPr>
        <w:t xml:space="preserve">Dict[str, Any]</w:t>
      </w:r>
    </w:p>
    <w:p>
      <w:pPr>
        <w:pStyle w:val="Compact"/>
        <w:numPr>
          <w:ilvl w:val="0"/>
          <w:numId w:val="1005"/>
        </w:numPr>
      </w:pPr>
      <w:r>
        <w:t xml:space="preserve">Indicates a dictionary with string keys</w:t>
      </w:r>
    </w:p>
    <w:p>
      <w:pPr>
        <w:pStyle w:val="Compact"/>
        <w:numPr>
          <w:ilvl w:val="0"/>
          <w:numId w:val="1005"/>
        </w:numPr>
      </w:pPr>
      <w:r>
        <w:t xml:space="preserve">Values can be of any type</w:t>
      </w:r>
    </w:p>
    <w:p>
      <w:pPr>
        <w:pStyle w:val="Compact"/>
        <w:numPr>
          <w:ilvl w:val="0"/>
          <w:numId w:val="1005"/>
        </w:numPr>
      </w:pPr>
      <w:r>
        <w:t xml:space="preserve">Used to represent flexible configuration structures</w:t>
      </w:r>
    </w:p>
    <w:bookmarkEnd w:id="32"/>
    <w:bookmarkStart w:id="33" w:name="name__"/>
    <w:p>
      <w:pPr>
        <w:pStyle w:val="Heading4"/>
      </w:pPr>
      <w:r>
        <w:rPr>
          <w:rStyle w:val="VerbatimChar"/>
        </w:rPr>
        <w:t xml:space="preserve">__name__</w:t>
      </w:r>
    </w:p>
    <w:p>
      <w:pPr>
        <w:pStyle w:val="Compact"/>
        <w:numPr>
          <w:ilvl w:val="0"/>
          <w:numId w:val="1006"/>
        </w:numPr>
      </w:pPr>
      <w:r>
        <w:t xml:space="preserve">Automatically assigned by Python when a file is loaded</w:t>
      </w:r>
    </w:p>
    <w:p>
      <w:pPr>
        <w:pStyle w:val="Compact"/>
        <w:numPr>
          <w:ilvl w:val="0"/>
          <w:numId w:val="1006"/>
        </w:numPr>
      </w:pPr>
      <w:r>
        <w:t xml:space="preserve">Used by logging to identify source module</w:t>
      </w:r>
    </w:p>
    <w:p>
      <w:pPr>
        <w:pStyle w:val="Compact"/>
        <w:numPr>
          <w:ilvl w:val="0"/>
          <w:numId w:val="1006"/>
        </w:numPr>
      </w:pPr>
      <w:r>
        <w:t xml:space="preserve">Does not require manual wiring</w:t>
      </w:r>
    </w:p>
    <w:bookmarkEnd w:id="33"/>
    <w:bookmarkStart w:id="34" w:name="logging.getlogger__name__"/>
    <w:p>
      <w:pPr>
        <w:pStyle w:val="Heading4"/>
      </w:pPr>
      <w:r>
        <w:rPr>
          <w:rStyle w:val="VerbatimChar"/>
        </w:rPr>
        <w:t xml:space="preserve">logging.getLogger(__name__)</w:t>
      </w:r>
    </w:p>
    <w:p>
      <w:pPr>
        <w:pStyle w:val="Compact"/>
        <w:numPr>
          <w:ilvl w:val="0"/>
          <w:numId w:val="1007"/>
        </w:numPr>
      </w:pPr>
      <w:r>
        <w:t xml:space="preserve">Creates a module-scoped logger</w:t>
      </w:r>
    </w:p>
    <w:p>
      <w:pPr>
        <w:pStyle w:val="Compact"/>
        <w:numPr>
          <w:ilvl w:val="0"/>
          <w:numId w:val="1007"/>
        </w:numPr>
      </w:pPr>
      <w:r>
        <w:t xml:space="preserve">Enables traceable, structured logs</w:t>
      </w:r>
    </w:p>
    <w:p>
      <w:pPr>
        <w:pStyle w:val="Compact"/>
        <w:numPr>
          <w:ilvl w:val="0"/>
          <w:numId w:val="1007"/>
        </w:numPr>
      </w:pPr>
      <w:r>
        <w:t xml:space="preserve">Standard enterprise logging pattern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exception-design-philosophy"/>
    <w:p>
      <w:pPr>
        <w:pStyle w:val="Heading2"/>
      </w:pPr>
      <w:r>
        <w:t xml:space="preserve">6. Exception Design Philosophy</w:t>
      </w:r>
    </w:p>
    <w:bookmarkStart w:id="37" w:name="why-custom-exceptions-are-used"/>
    <w:p>
      <w:pPr>
        <w:pStyle w:val="Heading3"/>
      </w:pPr>
      <w:r>
        <w:t xml:space="preserve">6.1 Why Custom Exceptions Are Used</w:t>
      </w:r>
    </w:p>
    <w:p>
      <w:pPr>
        <w:pStyle w:val="FirstParagraph"/>
      </w:pPr>
      <w:r>
        <w:t xml:space="preserve">Custom exceptions:</w:t>
      </w:r>
      <w:r>
        <w:t xml:space="preserve"> </w:t>
      </w:r>
      <w:r>
        <w:t xml:space="preserve">- Provide semantic meaning</w:t>
      </w:r>
      <w:r>
        <w:t xml:space="preserve"> </w:t>
      </w:r>
      <w:r>
        <w:t xml:space="preserve">- Enable clean fault isolation</w:t>
      </w:r>
      <w:r>
        <w:t xml:space="preserve"> </w:t>
      </w:r>
      <w:r>
        <w:t xml:space="preserve">- Improve debugging and observability</w:t>
      </w:r>
    </w:p>
    <w:bookmarkEnd w:id="37"/>
    <w:bookmarkStart w:id="38" w:name="what-an-exception-is-clarified"/>
    <w:p>
      <w:pPr>
        <w:pStyle w:val="Heading3"/>
      </w:pPr>
      <w:r>
        <w:t xml:space="preserve">6.2 What an Exception Is (Clarified)</w:t>
      </w:r>
    </w:p>
    <w:p>
      <w:pPr>
        <w:pStyle w:val="Compact"/>
        <w:numPr>
          <w:ilvl w:val="0"/>
          <w:numId w:val="1008"/>
        </w:numPr>
      </w:pPr>
      <w:r>
        <w:t xml:space="preserve">An exception is an</w:t>
      </w:r>
      <w:r>
        <w:t xml:space="preserve"> </w:t>
      </w:r>
      <w:r>
        <w:rPr>
          <w:b/>
          <w:bCs/>
        </w:rPr>
        <w:t xml:space="preserve">object</w:t>
      </w:r>
      <w:r>
        <w:t xml:space="preserve">, not a function</w:t>
      </w:r>
    </w:p>
    <w:p>
      <w:pPr>
        <w:pStyle w:val="Compact"/>
        <w:numPr>
          <w:ilvl w:val="0"/>
          <w:numId w:val="1008"/>
        </w:numPr>
      </w:pPr>
      <w:r>
        <w:t xml:space="preserve">Created from a class</w:t>
      </w:r>
    </w:p>
    <w:p>
      <w:pPr>
        <w:pStyle w:val="Compact"/>
        <w:numPr>
          <w:ilvl w:val="0"/>
          <w:numId w:val="1008"/>
        </w:numPr>
      </w:pPr>
      <w:r>
        <w:t xml:space="preserve">Raised explicitly at runtime</w:t>
      </w:r>
    </w:p>
    <w:bookmarkEnd w:id="38"/>
    <w:bookmarkStart w:id="39" w:name="separation-of-concerns"/>
    <w:p>
      <w:pPr>
        <w:pStyle w:val="Heading3"/>
      </w:pPr>
      <w:r>
        <w:t xml:space="preserve">6.3 Separation of Concerns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category</w:t>
            </w:r>
          </w:p>
        </w:tc>
        <w:tc>
          <w:tcPr/>
          <w:p>
            <w:pPr>
              <w:pStyle w:val="Compact"/>
            </w:pPr>
            <w:r>
              <w:t xml:space="preserve">Exception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t xml:space="preserve">Place of failure</w:t>
            </w:r>
          </w:p>
        </w:tc>
      </w:tr>
    </w:tbl>
    <w:p>
      <w:pPr>
        <w:pStyle w:val="BodyText"/>
      </w:pPr>
      <w:r>
        <w:t xml:space="preserve">Messages are</w:t>
      </w:r>
      <w:r>
        <w:t xml:space="preserve"> </w:t>
      </w:r>
      <w:r>
        <w:rPr>
          <w:b/>
          <w:bCs/>
        </w:rPr>
        <w:t xml:space="preserve">never hardcoded</w:t>
      </w:r>
      <w:r>
        <w:t xml:space="preserve"> </w:t>
      </w:r>
      <w:r>
        <w:t xml:space="preserve">inside exception classes.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schema-utilities-schema_utils.py"/>
    <w:p>
      <w:pPr>
        <w:pStyle w:val="Heading2"/>
      </w:pPr>
      <w:r>
        <w:t xml:space="preserve">7. Schema Utilities (</w:t>
      </w:r>
      <w:r>
        <w:rPr>
          <w:rStyle w:val="VerbatimChar"/>
        </w:rPr>
        <w:t xml:space="preserve">schema_utils.py</w:t>
      </w:r>
      <w:r>
        <w:t xml:space="preserve">)</w:t>
      </w:r>
    </w:p>
    <w:bookmarkStart w:id="41" w:name="why-schema-utilities-exist"/>
    <w:p>
      <w:pPr>
        <w:pStyle w:val="Heading3"/>
      </w:pPr>
      <w:r>
        <w:t xml:space="preserve">7.1 Why Schema Utilities Exist</w:t>
      </w:r>
    </w:p>
    <w:p>
      <w:pPr>
        <w:pStyle w:val="FirstParagraph"/>
      </w:pPr>
      <w:r>
        <w:t xml:space="preserve">Raw data failures are the</w:t>
      </w:r>
      <w:r>
        <w:t xml:space="preserve"> </w:t>
      </w:r>
      <w:r>
        <w:rPr>
          <w:b/>
          <w:bCs/>
        </w:rPr>
        <w:t xml:space="preserve">#1 cause</w:t>
      </w:r>
      <w:r>
        <w:t xml:space="preserve"> </w:t>
      </w:r>
      <w:r>
        <w:t xml:space="preserve">of ML pipeline instability.</w:t>
      </w:r>
    </w:p>
    <w:p>
      <w:pPr>
        <w:pStyle w:val="BodyText"/>
      </w:pPr>
      <w:r>
        <w:t xml:space="preserve">Schema utilities ensure:</w:t>
      </w:r>
      <w:r>
        <w:t xml:space="preserve"> </w:t>
      </w:r>
      <w:r>
        <w:t xml:space="preserve">- Consistent column naming</w:t>
      </w:r>
      <w:r>
        <w:t xml:space="preserve"> </w:t>
      </w:r>
      <w:r>
        <w:t xml:space="preserve">- Early failure on schema mismatch</w:t>
      </w:r>
      <w:r>
        <w:t xml:space="preserve"> </w:t>
      </w:r>
      <w:r>
        <w:t xml:space="preserve">- Human-readable error messages</w:t>
      </w:r>
    </w:p>
    <w:bookmarkEnd w:id="41"/>
    <w:bookmarkStart w:id="42" w:name="design-constraints-frozen"/>
    <w:p>
      <w:pPr>
        <w:pStyle w:val="Heading3"/>
      </w:pPr>
      <w:r>
        <w:t xml:space="preserve">7.2 Design Constraints (Frozen)</w:t>
      </w:r>
    </w:p>
    <w:p>
      <w:pPr>
        <w:pStyle w:val="Compact"/>
        <w:numPr>
          <w:ilvl w:val="0"/>
          <w:numId w:val="1009"/>
        </w:numPr>
      </w:pPr>
      <w:r>
        <w:t xml:space="preserve">Independent of pandas, models, and pipelines</w:t>
      </w:r>
    </w:p>
    <w:p>
      <w:pPr>
        <w:pStyle w:val="Compact"/>
        <w:numPr>
          <w:ilvl w:val="0"/>
          <w:numId w:val="1009"/>
        </w:numPr>
      </w:pPr>
      <w:r>
        <w:t xml:space="preserve">Stateless and reusable</w:t>
      </w:r>
    </w:p>
    <w:p>
      <w:pPr>
        <w:pStyle w:val="Compact"/>
        <w:numPr>
          <w:ilvl w:val="0"/>
          <w:numId w:val="1009"/>
        </w:numPr>
      </w:pPr>
      <w:r>
        <w:t xml:space="preserve">Raises only schema-related errors</w:t>
      </w:r>
    </w:p>
    <w:bookmarkEnd w:id="42"/>
    <w:bookmarkStart w:id="44" w:name="custom-schema-exception"/>
    <w:p>
      <w:pPr>
        <w:pStyle w:val="Heading3"/>
      </w:pPr>
      <w:r>
        <w:t xml:space="preserve">7.3 Custom Schema Exception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SchemaValidationError(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Raised when input data violates expected schema rules.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Start w:id="43" w:name="key-clarifications-final"/>
    <w:p>
      <w:pPr>
        <w:pStyle w:val="Heading4"/>
      </w:pPr>
      <w:r>
        <w:t xml:space="preserve">Key Clarifications (Final)</w:t>
      </w:r>
    </w:p>
    <w:p>
      <w:pPr>
        <w:pStyle w:val="Compact"/>
        <w:numPr>
          <w:ilvl w:val="0"/>
          <w:numId w:val="1010"/>
        </w:numPr>
      </w:pPr>
      <w:r>
        <w:t xml:space="preserve">The class defines an</w:t>
      </w:r>
      <w:r>
        <w:t xml:space="preserve"> </w:t>
      </w:r>
      <w:r>
        <w:rPr>
          <w:b/>
          <w:bCs/>
        </w:rPr>
        <w:t xml:space="preserve">error type</w:t>
      </w:r>
      <w:r>
        <w:t xml:space="preserve">, not a message</w:t>
      </w:r>
    </w:p>
    <w:p>
      <w:pPr>
        <w:pStyle w:val="Compact"/>
        <w:numPr>
          <w:ilvl w:val="0"/>
          <w:numId w:val="1010"/>
        </w:numPr>
      </w:pPr>
      <w:r>
        <w:t xml:space="preserve">Messages are provided when raising the exception</w:t>
      </w:r>
    </w:p>
    <w:p>
      <w:pPr>
        <w:pStyle w:val="Compact"/>
        <w:numPr>
          <w:ilvl w:val="0"/>
          <w:numId w:val="1010"/>
        </w:numPr>
      </w:pPr>
      <w:r>
        <w:t xml:space="preserve">Inheriting from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t xml:space="preserve">makes it raisable and catchable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pass</w:t>
      </w:r>
      <w:r>
        <w:t xml:space="preserve"> </w:t>
      </w:r>
      <w:r>
        <w:t xml:space="preserve">is used because no extra logic is required</w:t>
      </w:r>
    </w:p>
    <w:bookmarkEnd w:id="43"/>
    <w:bookmarkEnd w:id="44"/>
    <w:bookmarkStart w:id="45" w:name="why-messages-are-not-inside-the-class"/>
    <w:p>
      <w:pPr>
        <w:pStyle w:val="Heading3"/>
      </w:pPr>
      <w:r>
        <w:t xml:space="preserve">7.4 Why Messages Are Not Inside the Class</w:t>
      </w:r>
    </w:p>
    <w:p>
      <w:pPr>
        <w:pStyle w:val="FirstParagraph"/>
      </w:pPr>
      <w:r>
        <w:t xml:space="preserve">Hardcoding messages would:</w:t>
      </w:r>
      <w:r>
        <w:t xml:space="preserve"> </w:t>
      </w:r>
      <w:r>
        <w:t xml:space="preserve">- Force identical messages for all failures</w:t>
      </w:r>
      <w:r>
        <w:t xml:space="preserve"> </w:t>
      </w:r>
      <w:r>
        <w:t xml:space="preserve">- Remove contextual information</w:t>
      </w:r>
      <w:r>
        <w:t xml:space="preserve"> </w:t>
      </w:r>
      <w:r>
        <w:t xml:space="preserve">- Make debugging harder</w:t>
      </w:r>
    </w:p>
    <w:p>
      <w:pPr>
        <w:pStyle w:val="BodyText"/>
      </w:pPr>
      <w:r>
        <w:t xml:space="preserve">Correct pattern:</w:t>
      </w:r>
    </w:p>
    <w:p>
      <w:pPr>
        <w:pStyle w:val="SourceCode"/>
      </w:pPr>
      <w:r>
        <w:rPr>
          <w:rStyle w:val="ControlFlowTok"/>
        </w:rPr>
        <w:t xml:space="preserve">raise</w:t>
      </w:r>
      <w:r>
        <w:rPr>
          <w:rStyle w:val="NormalTok"/>
        </w:rPr>
        <w:t xml:space="preserve"> SchemaValidationError(</w:t>
      </w:r>
      <w:r>
        <w:rPr>
          <w:rStyle w:val="StringTok"/>
        </w:rPr>
        <w:t xml:space="preserve">"Missing required column: total_sales"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industry-mistakes-explicitly-avoided"/>
    <w:p>
      <w:pPr>
        <w:pStyle w:val="Heading2"/>
      </w:pPr>
      <w:r>
        <w:t xml:space="preserve">8. Industry Mistakes Explicitly Avoided</w:t>
      </w:r>
    </w:p>
    <w:p>
      <w:pPr>
        <w:pStyle w:val="Compact"/>
        <w:numPr>
          <w:ilvl w:val="0"/>
          <w:numId w:val="1011"/>
        </w:numPr>
      </w:pPr>
      <w:r>
        <w:t xml:space="preserve">Using generic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t xml:space="preserve">everywhere</w:t>
      </w:r>
    </w:p>
    <w:p>
      <w:pPr>
        <w:pStyle w:val="Compact"/>
        <w:numPr>
          <w:ilvl w:val="0"/>
          <w:numId w:val="1011"/>
        </w:numPr>
      </w:pPr>
      <w:r>
        <w:t xml:space="preserve">Letting pandas errors leak upward</w:t>
      </w:r>
    </w:p>
    <w:p>
      <w:pPr>
        <w:pStyle w:val="Compact"/>
        <w:numPr>
          <w:ilvl w:val="0"/>
          <w:numId w:val="1011"/>
        </w:numPr>
      </w:pPr>
      <w:r>
        <w:t xml:space="preserve">Reading config in multiple places</w:t>
      </w:r>
    </w:p>
    <w:p>
      <w:pPr>
        <w:pStyle w:val="Compact"/>
        <w:numPr>
          <w:ilvl w:val="0"/>
          <w:numId w:val="1011"/>
        </w:numPr>
      </w:pPr>
      <w:r>
        <w:t xml:space="preserve">Silent schema assumptions</w:t>
      </w:r>
    </w:p>
    <w:p>
      <w:pPr>
        <w:pStyle w:val="Compact"/>
        <w:numPr>
          <w:ilvl w:val="0"/>
          <w:numId w:val="1011"/>
        </w:numPr>
      </w:pPr>
      <w:r>
        <w:t xml:space="preserve">Mixing I/O and validation logic</w:t>
      </w:r>
    </w:p>
    <w:p>
      <w:r>
        <w:pict>
          <v:rect style="width:0;height:1.5pt" o:hralign="center" o:hrstd="t" o:hr="t"/>
        </w:pict>
      </w:r>
    </w:p>
    <w:bookmarkEnd w:id="47"/>
    <w:bookmarkStart w:id="50" w:name="current-project-state-checkpoint"/>
    <w:p>
      <w:pPr>
        <w:pStyle w:val="Heading2"/>
      </w:pPr>
      <w:r>
        <w:t xml:space="preserve">9. Current Project State (Checkpoint)</w:t>
      </w:r>
    </w:p>
    <w:bookmarkStart w:id="48" w:name="completed-frozen"/>
    <w:p>
      <w:pPr>
        <w:pStyle w:val="Heading3"/>
      </w:pPr>
      <w:r>
        <w:t xml:space="preserve">Completed &amp; Frozen</w:t>
      </w:r>
    </w:p>
    <w:p>
      <w:pPr>
        <w:pStyle w:val="Compact"/>
        <w:numPr>
          <w:ilvl w:val="0"/>
          <w:numId w:val="1012"/>
        </w:numPr>
      </w:pPr>
      <w:r>
        <w:t xml:space="preserve">Repository architecture</w:t>
      </w:r>
    </w:p>
    <w:p>
      <w:pPr>
        <w:pStyle w:val="Compact"/>
        <w:numPr>
          <w:ilvl w:val="0"/>
          <w:numId w:val="1012"/>
        </w:numPr>
      </w:pPr>
      <w:r>
        <w:t xml:space="preserve">Environment setup</w:t>
      </w:r>
    </w:p>
    <w:p>
      <w:pPr>
        <w:pStyle w:val="Compact"/>
        <w:numPr>
          <w:ilvl w:val="0"/>
          <w:numId w:val="1012"/>
        </w:numPr>
      </w:pPr>
      <w:r>
        <w:t xml:space="preserve">Centralized config loader</w:t>
      </w:r>
    </w:p>
    <w:p>
      <w:pPr>
        <w:pStyle w:val="Compact"/>
        <w:numPr>
          <w:ilvl w:val="0"/>
          <w:numId w:val="1012"/>
        </w:numPr>
      </w:pPr>
      <w:r>
        <w:t xml:space="preserve">Schema utilities foundation</w:t>
      </w:r>
    </w:p>
    <w:p>
      <w:pPr>
        <w:pStyle w:val="Compact"/>
        <w:numPr>
          <w:ilvl w:val="0"/>
          <w:numId w:val="1012"/>
        </w:numPr>
      </w:pPr>
      <w:r>
        <w:t xml:space="preserve">Custom schema exception</w:t>
      </w:r>
    </w:p>
    <w:bookmarkEnd w:id="48"/>
    <w:bookmarkStart w:id="49" w:name="next-approved-step"/>
    <w:p>
      <w:pPr>
        <w:pStyle w:val="Heading3"/>
      </w:pPr>
      <w:r>
        <w:t xml:space="preserve">Next Approved Step</w:t>
      </w:r>
    </w:p>
    <w:p>
      <w:pPr>
        <w:pStyle w:val="Compact"/>
        <w:numPr>
          <w:ilvl w:val="0"/>
          <w:numId w:val="1013"/>
        </w:numPr>
      </w:pPr>
      <w:r>
        <w:t xml:space="preserve">Column name normalization (snake_case enforcement)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how-to-use-this-document"/>
    <w:p>
      <w:pPr>
        <w:pStyle w:val="Heading2"/>
      </w:pPr>
      <w:r>
        <w:t xml:space="preserve">10. How to Use This Document</w:t>
      </w:r>
    </w:p>
    <w:p>
      <w:pPr>
        <w:pStyle w:val="Compact"/>
        <w:numPr>
          <w:ilvl w:val="0"/>
          <w:numId w:val="1014"/>
        </w:numPr>
      </w:pPr>
      <w:r>
        <w:t xml:space="preserve">As a</w:t>
      </w:r>
      <w:r>
        <w:t xml:space="preserve"> </w:t>
      </w:r>
      <w:r>
        <w:rPr>
          <w:b/>
          <w:bCs/>
        </w:rPr>
        <w:t xml:space="preserve">project starter template</w:t>
      </w:r>
    </w:p>
    <w:p>
      <w:pPr>
        <w:pStyle w:val="Compact"/>
        <w:numPr>
          <w:ilvl w:val="0"/>
          <w:numId w:val="1014"/>
        </w:numPr>
      </w:pPr>
      <w:r>
        <w:t xml:space="preserve">As an</w:t>
      </w:r>
      <w:r>
        <w:t xml:space="preserve"> </w:t>
      </w:r>
      <w:r>
        <w:rPr>
          <w:b/>
          <w:bCs/>
        </w:rPr>
        <w:t xml:space="preserve">interview preparation guide</w:t>
      </w:r>
    </w:p>
    <w:p>
      <w:pPr>
        <w:pStyle w:val="Compact"/>
        <w:numPr>
          <w:ilvl w:val="0"/>
          <w:numId w:val="1014"/>
        </w:numPr>
      </w:pPr>
      <w:r>
        <w:t xml:space="preserve">As a</w:t>
      </w:r>
      <w:r>
        <w:t xml:space="preserve"> </w:t>
      </w:r>
      <w:r>
        <w:rPr>
          <w:b/>
          <w:bCs/>
        </w:rPr>
        <w:t xml:space="preserve">design justification reference</w:t>
      </w:r>
    </w:p>
    <w:p>
      <w:pPr>
        <w:pStyle w:val="FirstParagraph"/>
      </w:pPr>
      <w:r>
        <w:t xml:space="preserve">This document represents</w:t>
      </w:r>
      <w:r>
        <w:t xml:space="preserve"> </w:t>
      </w:r>
      <w:r>
        <w:rPr>
          <w:b/>
          <w:bCs/>
        </w:rPr>
        <w:t xml:space="preserve">enterprise-grade groundwork</w:t>
      </w:r>
      <w:r>
        <w:t xml:space="preserve"> </w:t>
      </w:r>
      <w:r>
        <w:t xml:space="preserve">and should be treated as immutable unless re-approved.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Foundation Reference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2026-02-04T14:36:47Z</dcterms:created>
  <dcterms:modified xsi:type="dcterms:W3CDTF">2026-02-04T14:36:47Z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