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ADF" w:rsidRDefault="00566E74">
      <w:bookmarkStart w:id="0" w:name="_GoBack"/>
      <w:bookmarkEnd w:id="0"/>
      <w:r>
        <w:t>KDE e Histograma</w:t>
      </w:r>
    </w:p>
    <w:p w:rsidR="00566E74" w:rsidRDefault="00566E74">
      <w:r>
        <w:rPr>
          <w:noProof/>
          <w:lang w:eastAsia="pt-BR"/>
        </w:rPr>
        <w:drawing>
          <wp:inline distT="0" distB="0" distL="0" distR="0">
            <wp:extent cx="5984574" cy="4825399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61" cy="482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O parâmetro </w:t>
      </w:r>
      <w:r w:rsidRPr="00566E74">
        <w:rPr>
          <w:rFonts w:ascii="Courier New" w:eastAsia="Times New Roman" w:hAnsi="Courier New" w:cs="Courier New"/>
          <w:b/>
          <w:bCs/>
          <w:color w:val="auto"/>
          <w:sz w:val="20"/>
          <w:lang w:eastAsia="pt-BR"/>
        </w:rPr>
        <w:t>kde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nos histogramas do Seaborn adiciona uma camada extra de informação. Vamos detalhar:</w:t>
      </w:r>
    </w:p>
    <w:p w:rsidR="00566E74" w:rsidRPr="00566E74" w:rsidRDefault="00FC32EA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5" style="width:0;height:1.5pt" o:hralign="center" o:hrstd="t" o:hr="t" fillcolor="#a0a0a0" stroked="f"/>
        </w:pict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📊 Histograma básico</w:t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Quando você faz algo como:</w:t>
      </w:r>
    </w:p>
    <w:p w:rsidR="00566E74" w:rsidRPr="00566E74" w:rsidRDefault="00566E74" w:rsidP="0056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sns.histplot(df[</w:t>
      </w:r>
      <w:r w:rsidRPr="00566E74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"Vendas"</w:t>
      </w: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])</w:t>
      </w:r>
    </w:p>
    <w:p w:rsidR="00566E74" w:rsidRPr="00566E74" w:rsidRDefault="00566E74" w:rsidP="00566E7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O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histograma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mostra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 frequência de valores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em bins (intervalos).</w:t>
      </w:r>
    </w:p>
    <w:p w:rsidR="00566E74" w:rsidRPr="00566E74" w:rsidRDefault="00566E74" w:rsidP="00566E7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Cada barra representa quantos registros caem naquele intervalo de valores.</w:t>
      </w:r>
    </w:p>
    <w:p w:rsidR="00566E74" w:rsidRPr="00566E74" w:rsidRDefault="00FC32EA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6" style="width:0;height:1.5pt" o:hralign="center" o:hrstd="t" o:hr="t" fillcolor="#a0a0a0" stroked="f"/>
        </w:pict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📈 O que é KDE (</w:t>
      </w:r>
      <w:r w:rsidRPr="00566E74">
        <w:rPr>
          <w:rFonts w:ascii="Courier New" w:eastAsia="Times New Roman" w:hAnsi="Courier New" w:cs="Courier New"/>
          <w:b/>
          <w:bCs/>
          <w:color w:val="auto"/>
          <w:sz w:val="20"/>
          <w:lang w:eastAsia="pt-BR"/>
        </w:rPr>
        <w:t>kde=True</w:t>
      </w:r>
      <w:r w:rsidRPr="00566E7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)</w:t>
      </w:r>
    </w:p>
    <w:p w:rsidR="00566E74" w:rsidRPr="00566E74" w:rsidRDefault="00566E74" w:rsidP="00566E7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KDE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significa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Kernel Density Estimate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(Estimativa de Densidade por Kernel).</w:t>
      </w:r>
    </w:p>
    <w:p w:rsidR="00566E74" w:rsidRPr="00566E74" w:rsidRDefault="00566E74" w:rsidP="00566E7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Ele desenha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uma curva suave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sobre o histograma, mostrando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 distribuição contínua dos dados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566E74" w:rsidRPr="00566E74" w:rsidRDefault="00566E74" w:rsidP="00566E7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É como se você “esticasse” as barras do histograma e criasse uma linha que aproxima a densidade dos dados.</w:t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Exemplo:</w:t>
      </w:r>
    </w:p>
    <w:p w:rsidR="00566E74" w:rsidRPr="00566E74" w:rsidRDefault="00566E74" w:rsidP="0056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sns.histplot(df[</w:t>
      </w:r>
      <w:r w:rsidRPr="00566E74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"Vendas"</w:t>
      </w: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], kde=</w:t>
      </w:r>
      <w:r w:rsidRPr="00566E74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True</w:t>
      </w: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566E74" w:rsidRPr="00566E74" w:rsidRDefault="00566E74" w:rsidP="00566E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lastRenderedPageBreak/>
        <w:t>As barras ainda indicam frequências.</w:t>
      </w:r>
    </w:p>
    <w:p w:rsidR="00566E74" w:rsidRPr="00566E74" w:rsidRDefault="00566E74" w:rsidP="00566E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A curva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KDE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indica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onde os valores são mais concentrados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566E74" w:rsidRPr="00566E74" w:rsidRDefault="00566E74" w:rsidP="00566E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Picos da curva → valores mais comuns.</w:t>
      </w:r>
    </w:p>
    <w:p w:rsidR="00566E74" w:rsidRPr="00566E74" w:rsidRDefault="00566E74" w:rsidP="00566E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Vale lembrar: a curva é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uma aproximação contínua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, não valores exatos.</w:t>
      </w:r>
    </w:p>
    <w:p w:rsidR="00566E74" w:rsidRPr="00566E74" w:rsidRDefault="00FC32EA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7" style="width:0;height:1.5pt" o:hralign="center" o:hrstd="t" o:hr="t" fillcolor="#a0a0a0" stroked="f"/>
        </w:pict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🔎 Por que usar KDE</w:t>
      </w:r>
    </w:p>
    <w:p w:rsidR="00566E74" w:rsidRPr="00566E74" w:rsidRDefault="00566E74" w:rsidP="00566E7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Visualiza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 forma da distribuição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: simétrica, assimétrica, múltiplos picos (multimodal).</w:t>
      </w:r>
    </w:p>
    <w:p w:rsidR="00566E74" w:rsidRPr="00566E74" w:rsidRDefault="00566E74" w:rsidP="00566E7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Facilita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comparar distribuições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entre diferentes grupos quando usado junto com </w:t>
      </w: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hue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566E74" w:rsidRPr="00566E74" w:rsidRDefault="00566E74" w:rsidP="00566E7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É útil para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identificar outliers ou padrões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, pois picos muito isolados aparecem na curva.</w:t>
      </w:r>
    </w:p>
    <w:p w:rsidR="00566E74" w:rsidRPr="00566E74" w:rsidRDefault="00FC32EA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8" style="width:0;height:1.5pt" o:hralign="center" o:hrstd="t" o:hr="t" fillcolor="#a0a0a0" stroked="f"/>
        </w:pict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💡 Exemplo de interpretação no CSV de vendas</w:t>
      </w:r>
    </w:p>
    <w:p w:rsidR="00566E74" w:rsidRPr="00566E74" w:rsidRDefault="00566E74" w:rsidP="00566E74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Se aplicarmos:</w:t>
      </w:r>
    </w:p>
    <w:p w:rsidR="00566E74" w:rsidRPr="00566E74" w:rsidRDefault="00566E74" w:rsidP="0056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sns.histplot(df[</w:t>
      </w:r>
      <w:r w:rsidRPr="00566E74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"Vendas"</w:t>
      </w: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], kde=</w:t>
      </w:r>
      <w:r w:rsidRPr="00566E74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True</w:t>
      </w: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566E74" w:rsidRPr="00566E74" w:rsidRDefault="00566E74" w:rsidP="00566E74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O histograma mostrará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quantos registros existem para cada faixa de vendas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566E74" w:rsidRPr="00566E74" w:rsidRDefault="00566E74" w:rsidP="00566E74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A curva KDE indicará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as faixas de vendas mais comuns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, por exemplo:</w:t>
      </w:r>
    </w:p>
    <w:p w:rsidR="00566E74" w:rsidRPr="00566E74" w:rsidRDefault="00566E74" w:rsidP="00566E74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Produtos como Teclado e Tablet podem formar picos em valores médios de vendas.</w:t>
      </w:r>
    </w:p>
    <w:p w:rsidR="00566E74" w:rsidRPr="00566E74" w:rsidRDefault="00566E74" w:rsidP="00566E74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Produtos caros (Monitor, Notebook) podem ter picos em vendas menores.</w:t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Vamos interpretar 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curva KDE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do histograma para o seu arquivo </w:t>
      </w: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dados.csv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de forma conceitual, sem precisar gerar o gráfico agora.</w:t>
      </w:r>
    </w:p>
    <w:p w:rsidR="00566E74" w:rsidRPr="00566E74" w:rsidRDefault="00FC32EA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9" style="width:0;height:1.5pt" o:hralign="center" o:hrstd="t" o:hr="t" fillcolor="#a0a0a0" stroked="f"/>
        </w:pict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📈 O que a curva KDE representa</w:t>
      </w:r>
    </w:p>
    <w:p w:rsidR="00566E74" w:rsidRPr="00566E74" w:rsidRDefault="00566E74" w:rsidP="00566E74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A curva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KDE (Kernel Density Estimate)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mostra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uma estimativa contínua da distribuição dos valores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da coluna </w:t>
      </w: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Vendas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566E74" w:rsidRPr="00566E74" w:rsidRDefault="00566E74" w:rsidP="00566E74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Ela é uma linha suave que indica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densidade de frequência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: onde a curva é mais alta, existem mais registros concentrados naquela faixa de vendas.</w:t>
      </w:r>
    </w:p>
    <w:p w:rsidR="00566E74" w:rsidRPr="00566E74" w:rsidRDefault="00566E74" w:rsidP="00566E74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Diferente das barras do histograma, a KDE permite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ver tendências gerais da distribuição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, sem o efeito “blocos” do histograma.</w:t>
      </w:r>
    </w:p>
    <w:p w:rsidR="00566E74" w:rsidRPr="00566E74" w:rsidRDefault="00FC32EA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30" style="width:0;height:1.5pt" o:hralign="center" o:hrstd="t" o:hr="t" fillcolor="#a0a0a0" stroked="f"/>
        </w:pict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🔎 Interpretação no CSV de vendas</w:t>
      </w:r>
    </w:p>
    <w:p w:rsidR="00566E74" w:rsidRPr="00566E74" w:rsidRDefault="00566E74" w:rsidP="00566E74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Picos da curva</w:t>
      </w:r>
    </w:p>
    <w:p w:rsidR="00566E74" w:rsidRPr="00566E74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Cada pico indica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uma faixa de vendas com muitos registros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566E74" w:rsidRPr="00566E74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Exemplo: se há pico em torno de 200–300 unidades, significa que muitas vendas estão nessa faixa.</w:t>
      </w:r>
    </w:p>
    <w:p w:rsidR="00566E74" w:rsidRPr="00566E74" w:rsidRDefault="00566E74" w:rsidP="00566E74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Vales da curva</w:t>
      </w:r>
    </w:p>
    <w:p w:rsidR="00566E74" w:rsidRPr="00566E74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Indicam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faixas de vendas menos comuns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566E74" w:rsidRPr="00566E74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Por exemplo, vendas muito baixas (menos de 50 unidades) ou muito altas (mais de 400 unidades) provavelmente aparecem como vales.</w:t>
      </w:r>
    </w:p>
    <w:p w:rsidR="00566E74" w:rsidRPr="00566E74" w:rsidRDefault="00566E74" w:rsidP="00566E74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Formato da distribuição</w:t>
      </w:r>
    </w:p>
    <w:p w:rsidR="00566E74" w:rsidRPr="00566E74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lastRenderedPageBreak/>
        <w:t>Assimétrica à direita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: se a curva se estende mais para valores altos, indica que a maioria das vendas é baixa ou média, mas existem algumas vendas grandes (provavelmente produtos caros).</w:t>
      </w:r>
    </w:p>
    <w:p w:rsidR="00566E74" w:rsidRPr="00566E74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Multimodalidade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: se houver mais de um pico, indica que existem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grupos distintos de vendas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, por exemplo:</w:t>
      </w:r>
    </w:p>
    <w:p w:rsidR="00566E74" w:rsidRPr="00566E74" w:rsidRDefault="00566E74" w:rsidP="00566E74">
      <w:pPr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Produtos baratos (Teclados, Tablets) vendendo mais unidades.</w:t>
      </w:r>
    </w:p>
    <w:p w:rsidR="00566E74" w:rsidRPr="00566E74" w:rsidRDefault="00566E74" w:rsidP="00566E74">
      <w:pPr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Produtos caros (Monitores, Notebooks) vendendo menos unidades, mas gerando receita significativa.</w:t>
      </w:r>
    </w:p>
    <w:p w:rsidR="00566E74" w:rsidRPr="00566E74" w:rsidRDefault="00566E74" w:rsidP="00566E74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Comparação com o histograma</w:t>
      </w:r>
    </w:p>
    <w:p w:rsidR="00566E74" w:rsidRPr="00566E74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Enquanto o histograma mostra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quantidade exata de registros em cada bin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, a KDE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mostra a tendência geral de densidade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566E74" w:rsidRPr="00566E74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Ajuda a identificar padrões gerais e outliers de forma mais clara.</w:t>
      </w:r>
    </w:p>
    <w:p w:rsidR="00566E74" w:rsidRPr="00566E74" w:rsidRDefault="00FC32EA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31" style="width:0;height:1.5pt" o:hralign="center" o:hrstd="t" o:hr="t" fillcolor="#a0a0a0" stroked="f"/>
        </w:pict>
      </w:r>
    </w:p>
    <w:p w:rsidR="00566E74" w:rsidRPr="00566E74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566E7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💡 Resumo prático para este CSV</w:t>
      </w:r>
    </w:p>
    <w:p w:rsidR="00566E74" w:rsidRPr="00566E74" w:rsidRDefault="00566E74" w:rsidP="00566E7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A curva KDE do </w:t>
      </w:r>
      <w:r w:rsidRPr="00566E74">
        <w:rPr>
          <w:rFonts w:ascii="Courier New" w:eastAsia="Times New Roman" w:hAnsi="Courier New" w:cs="Courier New"/>
          <w:color w:val="auto"/>
          <w:sz w:val="20"/>
          <w:lang w:eastAsia="pt-BR"/>
        </w:rPr>
        <w:t>Vendas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provavelmente terá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pico médio em torno de 200 a 300 unidades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, refletindo produtos mais vendidos como Teclados e Tablets.</w:t>
      </w:r>
    </w:p>
    <w:p w:rsidR="00566E74" w:rsidRPr="00566E74" w:rsidRDefault="00566E74" w:rsidP="00566E7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Haverá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uma cauda para valores mais altos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>, representando Monitores e Notebooks, que têm menos vendas mas maiores receitas.</w:t>
      </w:r>
    </w:p>
    <w:p w:rsidR="00566E74" w:rsidRPr="00566E74" w:rsidRDefault="00566E74" w:rsidP="00566E7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A análise do KDE ajuda a </w:t>
      </w:r>
      <w:r w:rsidRPr="00566E74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visualizar rapidamente onde estão concentradas as vendas</w:t>
      </w:r>
      <w:r w:rsidRPr="00566E74">
        <w:rPr>
          <w:rFonts w:ascii="Times New Roman" w:eastAsia="Times New Roman" w:hAnsi="Times New Roman" w:cs="Times New Roman"/>
          <w:color w:val="auto"/>
          <w:lang w:eastAsia="pt-BR"/>
        </w:rPr>
        <w:t xml:space="preserve"> e como diferentes produtos contribuem para a distribuição.</w:t>
      </w:r>
    </w:p>
    <w:p w:rsidR="00DA35C7" w:rsidRDefault="00DA35C7" w:rsidP="00DA35C7">
      <w:pPr>
        <w:pStyle w:val="Ttulo3"/>
      </w:pPr>
      <w:r>
        <w:t>Interpretação:</w:t>
      </w:r>
    </w:p>
    <w:p w:rsidR="00DA35C7" w:rsidRDefault="00DA35C7" w:rsidP="00DA35C7">
      <w:pPr>
        <w:pStyle w:val="NormalWeb"/>
        <w:numPr>
          <w:ilvl w:val="0"/>
          <w:numId w:val="10"/>
        </w:numPr>
      </w:pPr>
      <w:r>
        <w:rPr>
          <w:rStyle w:val="Forte"/>
        </w:rPr>
        <w:t>Curvas KDE sobre Vendas:</w:t>
      </w:r>
    </w:p>
    <w:p w:rsidR="00DA35C7" w:rsidRDefault="00DA35C7" w:rsidP="00DA35C7">
      <w:pPr>
        <w:pStyle w:val="NormalWeb"/>
        <w:numPr>
          <w:ilvl w:val="1"/>
          <w:numId w:val="10"/>
        </w:numPr>
      </w:pPr>
      <w:r>
        <w:t xml:space="preserve">Cada linha representa um </w:t>
      </w:r>
      <w:r>
        <w:rPr>
          <w:rStyle w:val="Forte"/>
        </w:rPr>
        <w:t>produto</w:t>
      </w:r>
      <w:r>
        <w:t>.</w:t>
      </w:r>
    </w:p>
    <w:p w:rsidR="00DA35C7" w:rsidRDefault="00DA35C7" w:rsidP="00DA35C7">
      <w:pPr>
        <w:pStyle w:val="NormalWeb"/>
        <w:numPr>
          <w:ilvl w:val="1"/>
          <w:numId w:val="10"/>
        </w:numPr>
      </w:pPr>
      <w:r>
        <w:t xml:space="preserve">O </w:t>
      </w:r>
      <w:r>
        <w:rPr>
          <w:rStyle w:val="Forte"/>
        </w:rPr>
        <w:t>pico</w:t>
      </w:r>
      <w:r>
        <w:t xml:space="preserve"> da curva mostra onde a maioria das vendas desse produto se concentra.</w:t>
      </w:r>
    </w:p>
    <w:p w:rsidR="00DA35C7" w:rsidRDefault="00DA35C7" w:rsidP="00DA35C7">
      <w:pPr>
        <w:pStyle w:val="NormalWeb"/>
        <w:numPr>
          <w:ilvl w:val="1"/>
          <w:numId w:val="10"/>
        </w:numPr>
      </w:pPr>
      <w:r>
        <w:t xml:space="preserve">A largura da curva indica a </w:t>
      </w:r>
      <w:r>
        <w:rPr>
          <w:rStyle w:val="Forte"/>
        </w:rPr>
        <w:t>variação</w:t>
      </w:r>
      <w:r>
        <w:t xml:space="preserve"> das vendas: curvas mais estreitas → vendas mais concentradas; curvas largas → vendas mais dispersas.</w:t>
      </w:r>
    </w:p>
    <w:p w:rsidR="00DA35C7" w:rsidRDefault="00DA35C7" w:rsidP="00DA35C7">
      <w:pPr>
        <w:pStyle w:val="NormalWeb"/>
        <w:numPr>
          <w:ilvl w:val="0"/>
          <w:numId w:val="10"/>
        </w:numPr>
      </w:pPr>
      <w:r>
        <w:rPr>
          <w:rStyle w:val="Forte"/>
        </w:rPr>
        <w:t>Curvas KDE sobre Receita Total:</w:t>
      </w:r>
    </w:p>
    <w:p w:rsidR="00DA35C7" w:rsidRDefault="00DA35C7" w:rsidP="00DA35C7">
      <w:pPr>
        <w:pStyle w:val="NormalWeb"/>
        <w:numPr>
          <w:ilvl w:val="1"/>
          <w:numId w:val="10"/>
        </w:numPr>
      </w:pPr>
      <w:r>
        <w:t>Mostra a distribuição de receita para cada produto.</w:t>
      </w:r>
    </w:p>
    <w:p w:rsidR="00DA35C7" w:rsidRDefault="00DA35C7" w:rsidP="00DA35C7">
      <w:pPr>
        <w:pStyle w:val="NormalWeb"/>
        <w:numPr>
          <w:ilvl w:val="1"/>
          <w:numId w:val="10"/>
        </w:numPr>
      </w:pPr>
      <w:r>
        <w:t>Produtos com picos mais altos indicam valores de receita mais frequentes.</w:t>
      </w:r>
    </w:p>
    <w:p w:rsidR="00DA35C7" w:rsidRDefault="00DA35C7" w:rsidP="00DA35C7">
      <w:pPr>
        <w:pStyle w:val="NormalWeb"/>
        <w:numPr>
          <w:ilvl w:val="1"/>
          <w:numId w:val="10"/>
        </w:numPr>
      </w:pPr>
      <w:r>
        <w:t>Permite comparar rapidamente quais produtos têm receitas mais consistentes ou voláteis.</w:t>
      </w:r>
    </w:p>
    <w:p w:rsidR="00DA35C7" w:rsidRDefault="00DA35C7" w:rsidP="00DA35C7">
      <w:pPr>
        <w:pStyle w:val="NormalWeb"/>
      </w:pPr>
      <w:r>
        <w:t xml:space="preserve">Se você quiser, posso criar </w:t>
      </w:r>
      <w:r>
        <w:rPr>
          <w:rStyle w:val="Forte"/>
        </w:rPr>
        <w:t>uma interpretação detalhada das curvas KDE para cada produto</w:t>
      </w:r>
      <w:r>
        <w:t xml:space="preserve"> usando este dataset, apontando quais produtos têm vendas/receita mais concentradas ou mais dispersas.</w:t>
      </w:r>
    </w:p>
    <w:p w:rsidR="00DA35C7" w:rsidRDefault="00DA35C7" w:rsidP="00DA35C7">
      <w:pPr>
        <w:pStyle w:val="NormalWeb"/>
      </w:pPr>
      <w:r>
        <w:t>Vamos analisar o KDE do CSV de vendas para cada produto (Monitor, Teclado, Tablet, Smartphone, Notebook) e interpretar o que ele nos mostra sobre vendas e receita.</w:t>
      </w:r>
    </w:p>
    <w:p w:rsidR="00DA35C7" w:rsidRDefault="00FC32EA" w:rsidP="00DA35C7">
      <w:r>
        <w:pict>
          <v:rect id="_x0000_i1032" style="width:0;height:1.5pt" o:hralign="center" o:hrstd="t" o:hr="t" fillcolor="#a0a0a0" stroked="f"/>
        </w:pict>
      </w:r>
    </w:p>
    <w:p w:rsidR="00DA35C7" w:rsidRDefault="00DA35C7" w:rsidP="00DA35C7">
      <w:pPr>
        <w:pStyle w:val="Ttulo3"/>
      </w:pPr>
      <w:r>
        <w:t>1️</w:t>
      </w:r>
      <w:r>
        <w:rPr>
          <w:rFonts w:ascii="Tahoma" w:hAnsi="Tahoma" w:cs="Tahoma"/>
        </w:rPr>
        <w:t>⃣</w:t>
      </w:r>
      <w:r>
        <w:t xml:space="preserve"> KDE de </w:t>
      </w:r>
      <w:r>
        <w:rPr>
          <w:rStyle w:val="Forte"/>
          <w:b/>
          <w:bCs/>
        </w:rPr>
        <w:t>Vendas por Produto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9080"/>
      </w:tblGrid>
      <w:tr w:rsidR="00DA35C7" w:rsidTr="00DA3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35C7" w:rsidRDefault="00DA35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:rsidR="00DA35C7" w:rsidRDefault="00DA35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Interpretação do KDE de Vendas</w:t>
            </w:r>
          </w:p>
        </w:tc>
      </w:tr>
      <w:tr w:rsidR="00DA35C7" w:rsidTr="00DA3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5C7" w:rsidRDefault="00DA35C7">
            <w:r>
              <w:rPr>
                <w:rStyle w:val="Forte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:rsidR="00DA35C7" w:rsidRDefault="00DA35C7">
            <w:r>
              <w:t>Pico da curva em torno de 200–400 unidades. Vendas relativamente estáveis, mas há dispersão (algumas vendas bem altas, outras baixas).</w:t>
            </w:r>
          </w:p>
        </w:tc>
      </w:tr>
      <w:tr w:rsidR="00DA35C7" w:rsidTr="00DA3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5C7" w:rsidRDefault="00DA35C7">
            <w:r>
              <w:rPr>
                <w:rStyle w:val="Forte"/>
              </w:rPr>
              <w:t>Teclado</w:t>
            </w:r>
          </w:p>
        </w:tc>
        <w:tc>
          <w:tcPr>
            <w:tcW w:w="0" w:type="auto"/>
            <w:vAlign w:val="center"/>
            <w:hideMark/>
          </w:tcPr>
          <w:p w:rsidR="00DA35C7" w:rsidRDefault="00DA35C7">
            <w:r>
              <w:t>Pico entre 200–400 unidades, mas curva mais larga → vendas mais variáveis. Alguns dias com vendas bem baixas ou muito altas.</w:t>
            </w:r>
          </w:p>
        </w:tc>
      </w:tr>
      <w:tr w:rsidR="00DA35C7" w:rsidTr="00DA3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5C7" w:rsidRDefault="00DA35C7">
            <w:r>
              <w:rPr>
                <w:rStyle w:val="Forte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:rsidR="00DA35C7" w:rsidRDefault="00DA35C7">
            <w:r>
              <w:t>Dois picos visíveis: um em torno de 150–250 e outro 300–500. Indica que há dias com vendas baixas e outros com vendas altas — comportamento bimodal.</w:t>
            </w:r>
          </w:p>
        </w:tc>
      </w:tr>
      <w:tr w:rsidR="00DA35C7" w:rsidTr="00DA3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5C7" w:rsidRDefault="00DA35C7">
            <w:r>
              <w:rPr>
                <w:rStyle w:val="Forte"/>
              </w:rPr>
              <w:lastRenderedPageBreak/>
              <w:t>Smartphone</w:t>
            </w:r>
          </w:p>
        </w:tc>
        <w:tc>
          <w:tcPr>
            <w:tcW w:w="0" w:type="auto"/>
            <w:vAlign w:val="center"/>
            <w:hideMark/>
          </w:tcPr>
          <w:p w:rsidR="00DA35C7" w:rsidRDefault="00DA35C7">
            <w:r>
              <w:t>Pico central em 150–350 unidades. Distribuição mais suave, mas ainda com variação considerável.</w:t>
            </w:r>
          </w:p>
        </w:tc>
      </w:tr>
      <w:tr w:rsidR="00DA35C7" w:rsidTr="00DA3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5C7" w:rsidRDefault="00DA35C7">
            <w:r>
              <w:rPr>
                <w:rStyle w:val="Fort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:rsidR="00DA35C7" w:rsidRDefault="00DA35C7">
            <w:r>
              <w:t>Pico mais estreito em 100–200 unidades. Vendas geralmente mais baixas e concentradas, poucas vendas muito altas.</w:t>
            </w:r>
          </w:p>
        </w:tc>
      </w:tr>
    </w:tbl>
    <w:p w:rsidR="00DA35C7" w:rsidRDefault="00DA35C7" w:rsidP="00DA35C7">
      <w:pPr>
        <w:pStyle w:val="NormalWeb"/>
      </w:pPr>
      <w:r>
        <w:rPr>
          <w:rStyle w:val="Forte"/>
        </w:rPr>
        <w:t>Resumo:</w:t>
      </w:r>
    </w:p>
    <w:p w:rsidR="00DA35C7" w:rsidRDefault="00DA35C7" w:rsidP="00DA35C7">
      <w:pPr>
        <w:pStyle w:val="NormalWeb"/>
        <w:numPr>
          <w:ilvl w:val="0"/>
          <w:numId w:val="11"/>
        </w:numPr>
      </w:pPr>
      <w:r>
        <w:t>Produtos como Notebook têm vendas mais concentradas (menos dispersão).</w:t>
      </w:r>
    </w:p>
    <w:p w:rsidR="00DA35C7" w:rsidRDefault="00DA35C7" w:rsidP="00DA35C7">
      <w:pPr>
        <w:pStyle w:val="NormalWeb"/>
        <w:numPr>
          <w:ilvl w:val="0"/>
          <w:numId w:val="11"/>
        </w:numPr>
      </w:pPr>
      <w:r>
        <w:t>Tablet mostra padrões bimodais, indicando dias com vendas muito diferentes.</w:t>
      </w:r>
    </w:p>
    <w:p w:rsidR="00DA35C7" w:rsidRDefault="00DA35C7" w:rsidP="00DA35C7">
      <w:pPr>
        <w:pStyle w:val="NormalWeb"/>
        <w:numPr>
          <w:ilvl w:val="0"/>
          <w:numId w:val="11"/>
        </w:numPr>
      </w:pPr>
      <w:r>
        <w:t>Teclado e Smartphone têm maior variabilidade nas vendas.</w:t>
      </w:r>
    </w:p>
    <w:p w:rsidR="00DA35C7" w:rsidRDefault="00FC32EA" w:rsidP="00DA35C7">
      <w:r>
        <w:pict>
          <v:rect id="_x0000_i1033" style="width:0;height:1.5pt" o:hralign="center" o:hrstd="t" o:hr="t" fillcolor="#a0a0a0" stroked="f"/>
        </w:pict>
      </w:r>
    </w:p>
    <w:p w:rsidR="00DA35C7" w:rsidRDefault="00DA35C7" w:rsidP="00DA35C7">
      <w:pPr>
        <w:pStyle w:val="Ttulo3"/>
      </w:pPr>
      <w:r>
        <w:t>2️</w:t>
      </w:r>
      <w:r>
        <w:rPr>
          <w:rFonts w:ascii="Tahoma" w:hAnsi="Tahoma" w:cs="Tahoma"/>
        </w:rPr>
        <w:t>⃣</w:t>
      </w:r>
      <w:r>
        <w:t xml:space="preserve"> KDE de </w:t>
      </w:r>
      <w:r>
        <w:rPr>
          <w:rStyle w:val="Forte"/>
          <w:b/>
          <w:bCs/>
        </w:rPr>
        <w:t>Receita Total por Produto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8536"/>
      </w:tblGrid>
      <w:tr w:rsidR="00DA35C7" w:rsidTr="00EA3FF9">
        <w:trPr>
          <w:tblHeader/>
          <w:tblCellSpacing w:w="15" w:type="dxa"/>
        </w:trPr>
        <w:tc>
          <w:tcPr>
            <w:tcW w:w="1995" w:type="dxa"/>
            <w:vAlign w:val="center"/>
            <w:hideMark/>
          </w:tcPr>
          <w:p w:rsidR="00DA35C7" w:rsidRDefault="00DA35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</w:t>
            </w:r>
          </w:p>
        </w:tc>
        <w:tc>
          <w:tcPr>
            <w:tcW w:w="8491" w:type="dxa"/>
            <w:vAlign w:val="center"/>
            <w:hideMark/>
          </w:tcPr>
          <w:p w:rsidR="00DA35C7" w:rsidRDefault="00DA35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Interpretação do KDE de Receita</w:t>
            </w:r>
          </w:p>
        </w:tc>
      </w:tr>
      <w:tr w:rsidR="00DA35C7" w:rsidTr="00EA3FF9">
        <w:trPr>
          <w:tblCellSpacing w:w="15" w:type="dxa"/>
        </w:trPr>
        <w:tc>
          <w:tcPr>
            <w:tcW w:w="1995" w:type="dxa"/>
            <w:vAlign w:val="center"/>
            <w:hideMark/>
          </w:tcPr>
          <w:p w:rsidR="00DA35C7" w:rsidRDefault="00DA35C7">
            <w:r>
              <w:rPr>
                <w:rStyle w:val="Forte"/>
              </w:rPr>
              <w:t>Monitor</w:t>
            </w:r>
          </w:p>
        </w:tc>
        <w:tc>
          <w:tcPr>
            <w:tcW w:w="8491" w:type="dxa"/>
            <w:vAlign w:val="center"/>
            <w:hideMark/>
          </w:tcPr>
          <w:p w:rsidR="00DA35C7" w:rsidRDefault="00DA35C7">
            <w:r>
              <w:t>Pico alto em receitas médias (≈ 400k–600k). Alguns dias com receita muito alta (≈ 1.3M).</w:t>
            </w:r>
          </w:p>
        </w:tc>
      </w:tr>
      <w:tr w:rsidR="00DA35C7" w:rsidTr="00EA3FF9">
        <w:trPr>
          <w:tblCellSpacing w:w="15" w:type="dxa"/>
        </w:trPr>
        <w:tc>
          <w:tcPr>
            <w:tcW w:w="1995" w:type="dxa"/>
            <w:vAlign w:val="center"/>
            <w:hideMark/>
          </w:tcPr>
          <w:p w:rsidR="00DA35C7" w:rsidRDefault="00DA35C7">
            <w:r>
              <w:rPr>
                <w:rStyle w:val="Forte"/>
              </w:rPr>
              <w:t>Teclado</w:t>
            </w:r>
          </w:p>
        </w:tc>
        <w:tc>
          <w:tcPr>
            <w:tcW w:w="8491" w:type="dxa"/>
            <w:vAlign w:val="center"/>
            <w:hideMark/>
          </w:tcPr>
          <w:p w:rsidR="00DA35C7" w:rsidRDefault="00DA35C7">
            <w:r>
              <w:t>Distribuição ampla: alguns dias com receita baixa (≈ 100k), outros muito altos (&gt; 1M). Receita muito variável.</w:t>
            </w:r>
          </w:p>
        </w:tc>
      </w:tr>
      <w:tr w:rsidR="00DA35C7" w:rsidTr="00EA3FF9">
        <w:trPr>
          <w:tblCellSpacing w:w="15" w:type="dxa"/>
        </w:trPr>
        <w:tc>
          <w:tcPr>
            <w:tcW w:w="1995" w:type="dxa"/>
            <w:vAlign w:val="center"/>
            <w:hideMark/>
          </w:tcPr>
          <w:p w:rsidR="00DA35C7" w:rsidRDefault="00DA35C7">
            <w:r>
              <w:rPr>
                <w:rStyle w:val="Forte"/>
              </w:rPr>
              <w:t>Tablet</w:t>
            </w:r>
          </w:p>
        </w:tc>
        <w:tc>
          <w:tcPr>
            <w:tcW w:w="8491" w:type="dxa"/>
            <w:vAlign w:val="center"/>
            <w:hideMark/>
          </w:tcPr>
          <w:p w:rsidR="00DA35C7" w:rsidRDefault="00DA35C7">
            <w:r>
              <w:t>Distribuição bimodal também: dias com receita baixa (&lt; 200k) e dias com receita alta (&gt; 700k).</w:t>
            </w:r>
          </w:p>
        </w:tc>
      </w:tr>
      <w:tr w:rsidR="00DA35C7" w:rsidTr="00EA3FF9">
        <w:trPr>
          <w:tblCellSpacing w:w="15" w:type="dxa"/>
        </w:trPr>
        <w:tc>
          <w:tcPr>
            <w:tcW w:w="1995" w:type="dxa"/>
            <w:vAlign w:val="center"/>
            <w:hideMark/>
          </w:tcPr>
          <w:p w:rsidR="00DA35C7" w:rsidRDefault="00DA35C7">
            <w:r>
              <w:rPr>
                <w:rStyle w:val="Forte"/>
              </w:rPr>
              <w:t>Smartphone</w:t>
            </w:r>
          </w:p>
        </w:tc>
        <w:tc>
          <w:tcPr>
            <w:tcW w:w="8491" w:type="dxa"/>
            <w:vAlign w:val="center"/>
            <w:hideMark/>
          </w:tcPr>
          <w:p w:rsidR="00DA35C7" w:rsidRDefault="00DA35C7">
            <w:r>
              <w:t>Receita centralizada em torno de 300k–500k, variação moderada.</w:t>
            </w:r>
          </w:p>
        </w:tc>
      </w:tr>
      <w:tr w:rsidR="00DA35C7" w:rsidTr="00EA3FF9">
        <w:trPr>
          <w:tblCellSpacing w:w="15" w:type="dxa"/>
        </w:trPr>
        <w:tc>
          <w:tcPr>
            <w:tcW w:w="1995" w:type="dxa"/>
            <w:vAlign w:val="center"/>
            <w:hideMark/>
          </w:tcPr>
          <w:p w:rsidR="00DA35C7" w:rsidRDefault="00DA35C7">
            <w:r>
              <w:rPr>
                <w:rStyle w:val="Forte"/>
              </w:rPr>
              <w:t>Notebook</w:t>
            </w:r>
          </w:p>
        </w:tc>
        <w:tc>
          <w:tcPr>
            <w:tcW w:w="8491" w:type="dxa"/>
            <w:vAlign w:val="center"/>
            <w:hideMark/>
          </w:tcPr>
          <w:p w:rsidR="00DA35C7" w:rsidRDefault="00DA35C7">
            <w:r>
              <w:t>Receita concentrada em 150k–400k. Poucos valores extremos, bastante consistente.</w:t>
            </w:r>
          </w:p>
        </w:tc>
      </w:tr>
    </w:tbl>
    <w:p w:rsidR="00DA35C7" w:rsidRDefault="00DA35C7" w:rsidP="00DA35C7">
      <w:pPr>
        <w:pStyle w:val="NormalWeb"/>
      </w:pPr>
      <w:r>
        <w:rPr>
          <w:rStyle w:val="Forte"/>
        </w:rPr>
        <w:t>Resumo:</w:t>
      </w:r>
    </w:p>
    <w:p w:rsidR="00DA35C7" w:rsidRDefault="00DA35C7" w:rsidP="00DA35C7">
      <w:pPr>
        <w:pStyle w:val="NormalWeb"/>
        <w:numPr>
          <w:ilvl w:val="0"/>
          <w:numId w:val="12"/>
        </w:numPr>
      </w:pPr>
      <w:r>
        <w:t>Produtos de maior preço unitário (Monitor, Notebook) têm receita concentrada, mas podem gerar picos altos quando vendas altas ocorrem.</w:t>
      </w:r>
    </w:p>
    <w:p w:rsidR="00DA35C7" w:rsidRDefault="00DA35C7" w:rsidP="00DA35C7">
      <w:pPr>
        <w:pStyle w:val="NormalWeb"/>
        <w:numPr>
          <w:ilvl w:val="0"/>
          <w:numId w:val="12"/>
        </w:numPr>
      </w:pPr>
      <w:r>
        <w:t>Teclado e Tablet têm receitas mais dispersas, refletindo vendas variáveis e diferenças de preço unitário.</w:t>
      </w:r>
    </w:p>
    <w:p w:rsidR="00DA35C7" w:rsidRDefault="00DA35C7" w:rsidP="00DA35C7">
      <w:pPr>
        <w:pStyle w:val="NormalWeb"/>
        <w:numPr>
          <w:ilvl w:val="0"/>
          <w:numId w:val="12"/>
        </w:numPr>
      </w:pPr>
      <w:r>
        <w:t>Smartphones mostram consistência moderada na receita, com alguns dias de vendas mais altas.</w:t>
      </w:r>
    </w:p>
    <w:p w:rsidR="00566E74" w:rsidRDefault="00566E74"/>
    <w:sectPr w:rsidR="00566E74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C98"/>
    <w:multiLevelType w:val="multilevel"/>
    <w:tmpl w:val="AB7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1A1C"/>
    <w:multiLevelType w:val="multilevel"/>
    <w:tmpl w:val="BA5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73ECC"/>
    <w:multiLevelType w:val="multilevel"/>
    <w:tmpl w:val="940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37886"/>
    <w:multiLevelType w:val="multilevel"/>
    <w:tmpl w:val="0D08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40EF0"/>
    <w:multiLevelType w:val="multilevel"/>
    <w:tmpl w:val="8FF6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83BBE"/>
    <w:multiLevelType w:val="multilevel"/>
    <w:tmpl w:val="6BE4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97F26"/>
    <w:multiLevelType w:val="multilevel"/>
    <w:tmpl w:val="594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05CAA"/>
    <w:multiLevelType w:val="multilevel"/>
    <w:tmpl w:val="760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15BA9"/>
    <w:multiLevelType w:val="multilevel"/>
    <w:tmpl w:val="4DF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171CC"/>
    <w:multiLevelType w:val="multilevel"/>
    <w:tmpl w:val="D9C4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E5204"/>
    <w:multiLevelType w:val="multilevel"/>
    <w:tmpl w:val="54F2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43DC4"/>
    <w:multiLevelType w:val="multilevel"/>
    <w:tmpl w:val="A95A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E74"/>
    <w:rsid w:val="0008643D"/>
    <w:rsid w:val="002F76E9"/>
    <w:rsid w:val="003A2ADF"/>
    <w:rsid w:val="003C4DC9"/>
    <w:rsid w:val="00566E74"/>
    <w:rsid w:val="00656D16"/>
    <w:rsid w:val="006654CA"/>
    <w:rsid w:val="00753A44"/>
    <w:rsid w:val="007E7D11"/>
    <w:rsid w:val="008335DA"/>
    <w:rsid w:val="009E3837"/>
    <w:rsid w:val="00B92338"/>
    <w:rsid w:val="00DA35C7"/>
    <w:rsid w:val="00E107F6"/>
    <w:rsid w:val="00E8457E"/>
    <w:rsid w:val="00EA3FF9"/>
    <w:rsid w:val="00FC32EA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95A58-2FBC-4DD5-BE57-22D87B32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ADF"/>
  </w:style>
  <w:style w:type="paragraph" w:styleId="Ttulo3">
    <w:name w:val="heading 3"/>
    <w:basedOn w:val="Normal"/>
    <w:link w:val="Ttulo3Char"/>
    <w:uiPriority w:val="9"/>
    <w:qFormat/>
    <w:rsid w:val="00566E74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35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35C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66E74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6E7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566E7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66E7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6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6E74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566E74"/>
  </w:style>
  <w:style w:type="character" w:customStyle="1" w:styleId="hljs-literal">
    <w:name w:val="hljs-literal"/>
    <w:basedOn w:val="Fontepargpadro"/>
    <w:rsid w:val="00566E74"/>
  </w:style>
  <w:style w:type="paragraph" w:styleId="Textodebalo">
    <w:name w:val="Balloon Text"/>
    <w:basedOn w:val="Normal"/>
    <w:link w:val="TextodebaloChar"/>
    <w:uiPriority w:val="99"/>
    <w:semiHidden/>
    <w:unhideWhenUsed/>
    <w:rsid w:val="00566E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E74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35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35C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0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5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BFF2DFAA-6990-4AB0-830E-CDF2051C335E}"/>
</file>

<file path=customXml/itemProps2.xml><?xml version="1.0" encoding="utf-8"?>
<ds:datastoreItem xmlns:ds="http://schemas.openxmlformats.org/officeDocument/2006/customXml" ds:itemID="{0C9EBFED-8499-4842-9943-E242ACC3C418}"/>
</file>

<file path=customXml/itemProps3.xml><?xml version="1.0" encoding="utf-8"?>
<ds:datastoreItem xmlns:ds="http://schemas.openxmlformats.org/officeDocument/2006/customXml" ds:itemID="{F3708ACB-4F5A-48D2-8058-182D6EA2AF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996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4</cp:revision>
  <dcterms:created xsi:type="dcterms:W3CDTF">2025-09-19T00:41:00Z</dcterms:created>
  <dcterms:modified xsi:type="dcterms:W3CDTF">2025-09-25T15:49:00Z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