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B58900"/>
          <w:sz w:val="19"/>
        </w:rPr>
        <w:t>BUILDER KIT</w:t>
      </w:r>
    </w:p>
    <w:p>
      <w:pPr>
        <w:spacing w:after="80"/>
      </w:pPr>
      <w:r>
        <w:rPr>
          <w:rFonts w:ascii="Calibri" w:hAnsi="Calibri"/>
          <w:b/>
          <w:color w:val="071A2F"/>
          <w:sz w:val="46"/>
        </w:rPr>
        <w:t>Launch and Handoff Checklist</w:t>
      </w:r>
    </w:p>
    <w:p>
      <w:pPr>
        <w:spacing w:after="280"/>
      </w:pPr>
      <w:r>
        <w:rPr>
          <w:rFonts w:ascii="Calibri" w:hAnsi="Calibri"/>
          <w:color w:val="475569"/>
          <w:sz w:val="25"/>
        </w:rPr>
        <w:t>Make ownership, access, support, review, evidence, and the kill switch explicit before reuse.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232"/>
            <w:shd w:fill="F2F4F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Use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Complete before a prompt, tracker, no-code workflow, app, script, or vendor workaround becomes repeatable.</w:t>
            </w:r>
          </w:p>
        </w:tc>
      </w:tr>
      <w:tr>
        <w:tc>
          <w:tcPr>
            <w:tcW w:type="dxa" w:w="2232"/>
            <w:shd w:fill="F2F4F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Data rule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Use synthetic, redacted, public, or approved internal data only during prototype work.</w:t>
            </w:r>
          </w:p>
        </w:tc>
      </w:tr>
      <w:tr>
        <w:tc>
          <w:tcPr>
            <w:tcW w:type="dxa" w:w="2232"/>
            <w:shd w:fill="F2F4F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Next step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If approved for reuse, move the workflow into the AI Workflow SOP Builder.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Before launch or reuse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4104"/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071A2F"/>
                <w:sz w:val="18"/>
              </w:rPr>
              <w:t>Checklist item</w:t>
            </w:r>
          </w:p>
        </w:tc>
        <w:tc>
          <w:tcPr>
            <w:tcW w:type="dxa" w:w="1512"/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071A2F"/>
                <w:sz w:val="18"/>
              </w:rPr>
              <w:t>Owner</w:t>
            </w:r>
          </w:p>
        </w:tc>
        <w:tc>
          <w:tcPr>
            <w:tcW w:type="dxa" w:w="2736"/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071A2F"/>
                <w:sz w:val="18"/>
              </w:rPr>
              <w:t>Evidence / link</w:t>
            </w:r>
          </w:p>
        </w:tc>
        <w:tc>
          <w:tcPr>
            <w:tcW w:type="dxa" w:w="1007"/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071A2F"/>
                <w:sz w:val="18"/>
              </w:rPr>
              <w:t>Done</w:t>
            </w:r>
          </w:p>
        </w:tc>
      </w:tr>
      <w:tr>
        <w:tc>
          <w:tcPr>
            <w:tcW w:type="dxa" w:w="410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Owner and backup owner named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2736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100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[ ]</w:t>
            </w:r>
          </w:p>
        </w:tc>
      </w:tr>
      <w:tr>
        <w:tc>
          <w:tcPr>
            <w:tcW w:type="dxa" w:w="410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Location of tool, template, tracker, workflow, or app documented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2736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100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[ ]</w:t>
            </w:r>
          </w:p>
        </w:tc>
      </w:tr>
      <w:tr>
        <w:tc>
          <w:tcPr>
            <w:tcW w:type="dxa" w:w="410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Access rules defined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2736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100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[ ]</w:t>
            </w:r>
          </w:p>
        </w:tc>
      </w:tr>
      <w:tr>
        <w:tc>
          <w:tcPr>
            <w:tcW w:type="dxa" w:w="410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Plain-English run instructions written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2736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100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[ ]</w:t>
            </w:r>
          </w:p>
        </w:tc>
      </w:tr>
      <w:tr>
        <w:tc>
          <w:tcPr>
            <w:tcW w:type="dxa" w:w="410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Allowed and prohibited inputs listed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2736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100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[ ]</w:t>
            </w:r>
          </w:p>
        </w:tc>
      </w:tr>
      <w:tr>
        <w:tc>
          <w:tcPr>
            <w:tcW w:type="dxa" w:w="410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Review step and approval checkpoint documented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2736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100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[ ]</w:t>
            </w:r>
          </w:p>
        </w:tc>
      </w:tr>
      <w:tr>
        <w:tc>
          <w:tcPr>
            <w:tcW w:type="dxa" w:w="410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Evidence location and retention rule defined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2736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100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[ ]</w:t>
            </w:r>
          </w:p>
        </w:tc>
      </w:tr>
      <w:tr>
        <w:tc>
          <w:tcPr>
            <w:tcW w:type="dxa" w:w="410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Support contact, version, last reviewed, and next review date captured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2736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100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[ ]</w:t>
            </w:r>
          </w:p>
        </w:tc>
      </w:tr>
      <w:tr>
        <w:tc>
          <w:tcPr>
            <w:tcW w:type="dxa" w:w="410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Kill switch owner and pause triggers named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2736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100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[ ]</w:t>
            </w:r>
          </w:p>
        </w:tc>
      </w:tr>
      <w:tr>
        <w:tc>
          <w:tcPr>
            <w:tcW w:type="dxa" w:w="410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Workflow moved into AI Workflow SOP Builder if reused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2736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100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[ ]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Pause triggers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071A2F"/>
          <w:sz w:val="21"/>
        </w:rPr>
        <w:t>User enters prohibited data or credentials.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071A2F"/>
          <w:sz w:val="21"/>
        </w:rPr>
        <w:t>Output is used as an official record without review.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071A2F"/>
          <w:sz w:val="21"/>
        </w:rPr>
        <w:t>Workflow starts affecting customer eligibility, pricing, access, complaints, fraud, BSA/AML, or legal/compliance determinations.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071A2F"/>
          <w:sz w:val="21"/>
        </w:rPr>
        <w:t>Reviewer cannot trace output to source material.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071A2F"/>
          <w:sz w:val="21"/>
        </w:rPr>
        <w:t>Owner or backup owner leaves and no replacement is named.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Handoff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664"/>
            <w:shd w:fill="F2F4F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Launch owner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 xml:space="preserve"> </w:t>
            </w:r>
          </w:p>
        </w:tc>
      </w:tr>
      <w:tr>
        <w:tc>
          <w:tcPr>
            <w:tcW w:type="dxa" w:w="2664"/>
            <w:shd w:fill="F2F4F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Backup owner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 xml:space="preserve"> </w:t>
            </w:r>
          </w:p>
        </w:tc>
      </w:tr>
      <w:tr>
        <w:tc>
          <w:tcPr>
            <w:tcW w:type="dxa" w:w="2664"/>
            <w:shd w:fill="F2F4F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Support contact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 xml:space="preserve"> </w:t>
            </w:r>
          </w:p>
        </w:tc>
      </w:tr>
      <w:tr>
        <w:tc>
          <w:tcPr>
            <w:tcW w:type="dxa" w:w="2664"/>
            <w:shd w:fill="F2F4F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Evidence folder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 xml:space="preserve"> </w:t>
            </w:r>
          </w:p>
        </w:tc>
      </w:tr>
      <w:tr>
        <w:tc>
          <w:tcPr>
            <w:tcW w:type="dxa" w:w="2664"/>
            <w:shd w:fill="F2F4F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Next review date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 xml:space="preserve"> </w:t>
            </w:r>
          </w:p>
        </w:tc>
      </w:tr>
      <w:tr>
        <w:tc>
          <w:tcPr>
            <w:tcW w:type="dxa" w:w="2664"/>
            <w:shd w:fill="F2F4F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Kill switch owner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Calibri" w:hAnsi="Calibri"/>
        <w:color w:val="475569"/>
        <w:sz w:val="17"/>
      </w:rPr>
      <w:t>Turning Bankers into Builders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475569"/>
        <w:sz w:val="18"/>
      </w:rPr>
      <w:t>The AI Banking Institute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 and Handoff Checklist</dc:title>
  <dc:subject/>
  <dc:creator>The AI Banking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