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before="0" w:line="276"/>
      </w:pPr>
      <w:r>
        <w:rPr>
          <w:rFonts w:ascii="Arial" w:cs="Arial" w:eastAsia="Arial" w:hAnsi="Arial"/>
          <w:b/>
          <w:bCs/>
          <w:i w:val="false"/>
          <w:iCs w:val="false"/>
          <w:color w:val="B8872D"/>
          <w:sz w:val="18"/>
          <w:szCs w:val="18"/>
        </w:rPr>
        <w:t xml:space="preserve">The AI Banking Institute</w:t>
      </w:r>
    </w:p>
    <w:p>
      <w:pPr>
        <w:pStyle w:val="Title"/>
        <w:spacing w:after="110" w:before="0" w:line="276"/>
      </w:pPr>
      <w:r>
        <w:rPr>
          <w:rFonts w:ascii="Arial" w:cs="Arial" w:eastAsia="Arial" w:hAnsi="Arial"/>
          <w:b/>
          <w:bCs/>
          <w:i w:val="false"/>
          <w:iCs w:val="false"/>
          <w:color w:val="071A2F"/>
          <w:sz w:val="34"/>
          <w:szCs w:val="34"/>
        </w:rPr>
        <w:t xml:space="preserve">Procedure-to-Job-Aid Prompt</w:t>
      </w:r>
    </w:p>
    <w:p>
      <w:pPr>
        <w:spacing w:after="110" w:before="0" w:line="276"/>
      </w:pPr>
      <w:r>
        <w:rPr>
          <w:rFonts w:ascii="Arial" w:cs="Arial" w:eastAsia="Arial" w:hAnsi="Arial"/>
          <w:b w:val="false"/>
          <w:bCs w:val="false"/>
          <w:i w:val="false"/>
          <w:iCs w:val="false"/>
          <w:color w:val="475569"/>
          <w:sz w:val="20"/>
          <w:szCs w:val="20"/>
        </w:rPr>
        <w:t xml:space="preserve">Use this prompt to turn approved procedure text into a frontline checklist without inventing policy.</w:t>
      </w:r>
    </w:p>
    <w:p>
      <w:pPr>
        <w:pStyle w:val="Heading1"/>
        <w:spacing w:after="110" w:before="240" w:line="276"/>
      </w:pPr>
      <w:r>
        <w:rPr>
          <w:rFonts w:ascii="Arial" w:cs="Arial" w:eastAsia="Arial" w:hAnsi="Arial"/>
          <w:b/>
          <w:bCs/>
          <w:i w:val="false"/>
          <w:iCs w:val="false"/>
          <w:color w:val="071A2F"/>
          <w:sz w:val="24"/>
          <w:szCs w:val="24"/>
        </w:rPr>
        <w:t xml:space="preserve">Prompt Template</w:t>
      </w:r>
    </w:p>
    <w:p>
      <w:pPr>
        <w:spacing w:after="110" w:before="0" w:line="276"/>
      </w:pPr>
      <w:r>
        <w:rPr>
          <w:rFonts w:ascii="Arial" w:cs="Arial" w:eastAsia="Arial" w:hAnsi="Arial"/>
          <w:b w:val="false"/>
          <w:bCs w:val="false"/>
          <w:i w:val="false"/>
          <w:iCs w:val="false"/>
          <w:color w:val="475569"/>
          <w:sz w:val="20"/>
          <w:szCs w:val="20"/>
        </w:rPr>
        <w:t xml:space="preserve">You are helping create a frontline job aid from approved bank procedure text. Use only the procedure text provided. Do not invent requirements, timeframes, fees, disclosures, eligibility rules, or exceptions. If the procedure is unclear, mark the item [VERIFY]. Output: purpose, when to use, step-by-step checklist, required documentation, escalation triggers, customer-safe wording, and [VERIFY] questions.</w:t>
      </w:r>
    </w:p>
    <w:p>
      <w:pPr>
        <w:pStyle w:val="Heading1"/>
        <w:spacing w:after="110" w:before="240" w:line="276"/>
      </w:pPr>
      <w:r>
        <w:rPr>
          <w:rFonts w:ascii="Arial" w:cs="Arial" w:eastAsia="Arial" w:hAnsi="Arial"/>
          <w:b/>
          <w:bCs/>
          <w:i w:val="false"/>
          <w:iCs w:val="false"/>
          <w:color w:val="071A2F"/>
          <w:sz w:val="24"/>
          <w:szCs w:val="24"/>
        </w:rPr>
        <w:t xml:space="preserve">Approved Source Material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D9E2EC" w:sz="4"/>
              <w:left w:val="single" w:color="D9E2EC" w:sz="4"/>
              <w:bottom w:val="single" w:color="D9E2EC" w:sz="4"/>
              <w:right w:val="single" w:color="D9E2EC" w:sz="4"/>
            </w:tcBorders>
            <w:shd w:fill="F4EADB" w:val="clear"/>
            <w:tcMar>
              <w:top w:type="dxa" w:w="110"/>
              <w:left w:type="dxa" w:w="130"/>
              <w:bottom w:type="dxa" w:w="110"/>
              <w:right w:type="dxa" w:w="130"/>
            </w:tcMar>
          </w:tcPr>
          <w:p>
            <w:pPr>
              <w:spacing w:after="110" w:before="0" w:line="276"/>
            </w:pPr>
            <w:r>
              <w:rPr>
                <w:rFonts w:ascii="Arial" w:cs="Arial" w:eastAsia="Arial" w:hAnsi="Arial"/>
                <w:b/>
                <w:bCs/>
                <w:i w:val="false"/>
                <w:iCs w:val="false"/>
                <w:color w:val="071A2F"/>
                <w:sz w:val="20"/>
                <w:szCs w:val="20"/>
              </w:rPr>
              <w:t xml:space="preserve">Source</w:t>
            </w:r>
          </w:p>
        </w:tc>
        <w:tc>
          <w:tcPr>
            <w:tcW w:type="pct" w:w="70%"/>
            <w:tcBorders>
              <w:top w:val="single" w:color="D9E2EC" w:sz="4"/>
              <w:left w:val="single" w:color="D9E2EC" w:sz="4"/>
              <w:bottom w:val="single" w:color="D9E2EC" w:sz="4"/>
              <w:right w:val="single" w:color="D9E2EC" w:sz="4"/>
            </w:tcBorders>
            <w:shd w:fill="F4EADB" w:val="clear"/>
            <w:tcMar>
              <w:top w:type="dxa" w:w="110"/>
              <w:left w:type="dxa" w:w="130"/>
              <w:bottom w:type="dxa" w:w="110"/>
              <w:right w:type="dxa" w:w="130"/>
            </w:tcMar>
          </w:tcPr>
          <w:p>
            <w:pPr>
              <w:spacing w:after="110" w:before="0" w:line="276"/>
            </w:pPr>
            <w:r>
              <w:rPr>
                <w:rFonts w:ascii="Arial" w:cs="Arial" w:eastAsia="Arial" w:hAnsi="Arial"/>
                <w:b/>
                <w:bCs/>
                <w:i w:val="false"/>
                <w:iCs w:val="false"/>
                <w:color w:val="071A2F"/>
                <w:sz w:val="20"/>
                <w:szCs w:val="20"/>
              </w:rPr>
              <w:t xml:space="preserve">Paste approved procedure excerpt or link</w:t>
            </w:r>
          </w:p>
        </w:tc>
      </w:tr>
      <w:tr>
        <w:tc>
          <w:tcPr>
            <w:tcW w:type="pct" w:w="30%"/>
            <w:tcBorders>
              <w:top w:val="single" w:color="D9E2EC" w:sz="4"/>
              <w:left w:val="single" w:color="D9E2EC" w:sz="4"/>
              <w:bottom w:val="single" w:color="D9E2EC" w:sz="4"/>
              <w:right w:val="single" w:color="D9E2EC" w:sz="4"/>
            </w:tcBorders>
            <w:tcMar>
              <w:top w:type="dxa" w:w="110"/>
              <w:left w:type="dxa" w:w="130"/>
              <w:bottom w:type="dxa" w:w="110"/>
              <w:right w:type="dxa" w:w="130"/>
            </w:tcMar>
          </w:tcPr>
          <w:p>
            <w:pPr>
              <w:spacing w:after="110" w:before="0" w:line="276"/>
            </w:pPr>
            <w:r>
              <w:rPr>
                <w:rFonts w:ascii="Arial" w:cs="Arial" w:eastAsia="Arial" w:hAnsi="Arial"/>
                <w:b w:val="false"/>
                <w:bCs w:val="false"/>
                <w:i w:val="false"/>
                <w:iCs w:val="false"/>
                <w:color w:val="475569"/>
                <w:sz w:val="20"/>
                <w:szCs w:val="20"/>
              </w:rPr>
              <w:t xml:space="preserve">Procedure owner</w:t>
            </w:r>
          </w:p>
        </w:tc>
        <w:tc>
          <w:tcPr>
            <w:tcW w:type="pct" w:w="70%"/>
            <w:tcBorders>
              <w:top w:val="single" w:color="D9E2EC" w:sz="4"/>
              <w:left w:val="single" w:color="D9E2EC" w:sz="4"/>
              <w:bottom w:val="single" w:color="D9E2EC" w:sz="4"/>
              <w:right w:val="single" w:color="D9E2EC" w:sz="4"/>
            </w:tcBorders>
            <w:tcMar>
              <w:top w:type="dxa" w:w="110"/>
              <w:left w:type="dxa" w:w="130"/>
              <w:bottom w:type="dxa" w:w="110"/>
              <w:right w:type="dxa" w:w="130"/>
            </w:tcMar>
          </w:tcPr>
          <w:p>
            <w:pPr>
              <w:spacing w:after="110" w:before="0" w:line="276"/>
            </w:pPr>
            <w:r>
              <w:rPr>
                <w:rFonts w:ascii="Arial" w:cs="Arial" w:eastAsia="Arial" w:hAnsi="Arial"/>
                <w:b w:val="false"/>
                <w:bCs w:val="false"/>
                <w:i w:val="false"/>
                <w:iCs w:val="false"/>
                <w:color w:val="475569"/>
                <w:sz w:val="20"/>
                <w:szCs w:val="20"/>
              </w:rPr>
              <w:t xml:space="preserve"> </w:t>
            </w:r>
          </w:p>
        </w:tc>
      </w:tr>
      <w:tr>
        <w:tc>
          <w:tcPr>
            <w:tcW w:type="pct" w:w="30%"/>
            <w:tcBorders>
              <w:top w:val="single" w:color="D9E2EC" w:sz="4"/>
              <w:left w:val="single" w:color="D9E2EC" w:sz="4"/>
              <w:bottom w:val="single" w:color="D9E2EC" w:sz="4"/>
              <w:right w:val="single" w:color="D9E2EC" w:sz="4"/>
            </w:tcBorders>
            <w:tcMar>
              <w:top w:type="dxa" w:w="110"/>
              <w:left w:type="dxa" w:w="130"/>
              <w:bottom w:type="dxa" w:w="110"/>
              <w:right w:type="dxa" w:w="130"/>
            </w:tcMar>
          </w:tcPr>
          <w:p>
            <w:pPr>
              <w:spacing w:after="110" w:before="0" w:line="276"/>
            </w:pPr>
            <w:r>
              <w:rPr>
                <w:rFonts w:ascii="Arial" w:cs="Arial" w:eastAsia="Arial" w:hAnsi="Arial"/>
                <w:b w:val="false"/>
                <w:bCs w:val="false"/>
                <w:i w:val="false"/>
                <w:iCs w:val="false"/>
                <w:color w:val="475569"/>
                <w:sz w:val="20"/>
                <w:szCs w:val="20"/>
              </w:rPr>
              <w:t xml:space="preserve">Procedure title / version date</w:t>
            </w:r>
          </w:p>
        </w:tc>
        <w:tc>
          <w:tcPr>
            <w:tcW w:type="pct" w:w="70%"/>
            <w:tcBorders>
              <w:top w:val="single" w:color="D9E2EC" w:sz="4"/>
              <w:left w:val="single" w:color="D9E2EC" w:sz="4"/>
              <w:bottom w:val="single" w:color="D9E2EC" w:sz="4"/>
              <w:right w:val="single" w:color="D9E2EC" w:sz="4"/>
            </w:tcBorders>
            <w:tcMar>
              <w:top w:type="dxa" w:w="110"/>
              <w:left w:type="dxa" w:w="130"/>
              <w:bottom w:type="dxa" w:w="110"/>
              <w:right w:type="dxa" w:w="130"/>
            </w:tcMar>
          </w:tcPr>
          <w:p>
            <w:pPr>
              <w:spacing w:after="110" w:before="0" w:line="276"/>
            </w:pPr>
            <w:r>
              <w:rPr>
                <w:rFonts w:ascii="Arial" w:cs="Arial" w:eastAsia="Arial" w:hAnsi="Arial"/>
                <w:b w:val="false"/>
                <w:bCs w:val="false"/>
                <w:i w:val="false"/>
                <w:iCs w:val="false"/>
                <w:color w:val="475569"/>
                <w:sz w:val="20"/>
                <w:szCs w:val="20"/>
              </w:rPr>
              <w:t xml:space="preserve"> </w:t>
            </w:r>
          </w:p>
        </w:tc>
      </w:tr>
      <w:tr>
        <w:tc>
          <w:tcPr>
            <w:tcW w:type="pct" w:w="30%"/>
            <w:tcBorders>
              <w:top w:val="single" w:color="D9E2EC" w:sz="4"/>
              <w:left w:val="single" w:color="D9E2EC" w:sz="4"/>
              <w:bottom w:val="single" w:color="D9E2EC" w:sz="4"/>
              <w:right w:val="single" w:color="D9E2EC" w:sz="4"/>
            </w:tcBorders>
            <w:tcMar>
              <w:top w:type="dxa" w:w="110"/>
              <w:left w:type="dxa" w:w="130"/>
              <w:bottom w:type="dxa" w:w="110"/>
              <w:right w:type="dxa" w:w="130"/>
            </w:tcMar>
          </w:tcPr>
          <w:p>
            <w:pPr>
              <w:spacing w:after="110" w:before="0" w:line="276"/>
            </w:pPr>
            <w:r>
              <w:rPr>
                <w:rFonts w:ascii="Arial" w:cs="Arial" w:eastAsia="Arial" w:hAnsi="Arial"/>
                <w:b w:val="false"/>
                <w:bCs w:val="false"/>
                <w:i w:val="false"/>
                <w:iCs w:val="false"/>
                <w:color w:val="475569"/>
                <w:sz w:val="20"/>
                <w:szCs w:val="20"/>
              </w:rPr>
              <w:t xml:space="preserve">Approved source text</w:t>
            </w:r>
          </w:p>
        </w:tc>
        <w:tc>
          <w:tcPr>
            <w:tcW w:type="pct" w:w="70%"/>
            <w:tcBorders>
              <w:top w:val="single" w:color="D9E2EC" w:sz="4"/>
              <w:left w:val="single" w:color="D9E2EC" w:sz="4"/>
              <w:bottom w:val="single" w:color="D9E2EC" w:sz="4"/>
              <w:right w:val="single" w:color="D9E2EC" w:sz="4"/>
            </w:tcBorders>
            <w:tcMar>
              <w:top w:type="dxa" w:w="110"/>
              <w:left w:type="dxa" w:w="130"/>
              <w:bottom w:type="dxa" w:w="110"/>
              <w:right w:type="dxa" w:w="130"/>
            </w:tcMar>
          </w:tcPr>
          <w:p>
            <w:pPr>
              <w:spacing w:after="110" w:before="0" w:line="276"/>
            </w:pPr>
            <w:r>
              <w:rPr>
                <w:rFonts w:ascii="Arial" w:cs="Arial" w:eastAsia="Arial" w:hAnsi="Arial"/>
                <w:b w:val="false"/>
                <w:bCs w:val="false"/>
                <w:i w:val="false"/>
                <w:iCs w:val="false"/>
                <w:color w:val="475569"/>
                <w:sz w:val="20"/>
                <w:szCs w:val="20"/>
              </w:rPr>
              <w:t xml:space="preserve"> </w:t>
            </w:r>
          </w:p>
        </w:tc>
      </w:tr>
      <w:tr>
        <w:tc>
          <w:tcPr>
            <w:tcW w:type="pct" w:w="30%"/>
            <w:tcBorders>
              <w:top w:val="single" w:color="D9E2EC" w:sz="4"/>
              <w:left w:val="single" w:color="D9E2EC" w:sz="4"/>
              <w:bottom w:val="single" w:color="D9E2EC" w:sz="4"/>
              <w:right w:val="single" w:color="D9E2EC" w:sz="4"/>
            </w:tcBorders>
            <w:tcMar>
              <w:top w:type="dxa" w:w="110"/>
              <w:left w:type="dxa" w:w="130"/>
              <w:bottom w:type="dxa" w:w="110"/>
              <w:right w:type="dxa" w:w="130"/>
            </w:tcMar>
          </w:tcPr>
          <w:p>
            <w:pPr>
              <w:spacing w:after="110" w:before="0" w:line="276"/>
            </w:pPr>
            <w:r>
              <w:rPr>
                <w:rFonts w:ascii="Arial" w:cs="Arial" w:eastAsia="Arial" w:hAnsi="Arial"/>
                <w:b w:val="false"/>
                <w:bCs w:val="false"/>
                <w:i w:val="false"/>
                <w:iCs w:val="false"/>
                <w:color w:val="475569"/>
                <w:sz w:val="20"/>
                <w:szCs w:val="20"/>
              </w:rPr>
              <w:t xml:space="preserve">Reviewer</w:t>
            </w:r>
          </w:p>
        </w:tc>
        <w:tc>
          <w:tcPr>
            <w:tcW w:type="pct" w:w="70%"/>
            <w:tcBorders>
              <w:top w:val="single" w:color="D9E2EC" w:sz="4"/>
              <w:left w:val="single" w:color="D9E2EC" w:sz="4"/>
              <w:bottom w:val="single" w:color="D9E2EC" w:sz="4"/>
              <w:right w:val="single" w:color="D9E2EC" w:sz="4"/>
            </w:tcBorders>
            <w:tcMar>
              <w:top w:type="dxa" w:w="110"/>
              <w:left w:type="dxa" w:w="130"/>
              <w:bottom w:type="dxa" w:w="110"/>
              <w:right w:type="dxa" w:w="130"/>
            </w:tcMar>
          </w:tcPr>
          <w:p>
            <w:pPr>
              <w:spacing w:after="110" w:before="0" w:line="276"/>
            </w:pPr>
            <w:r>
              <w:rPr>
                <w:rFonts w:ascii="Arial" w:cs="Arial" w:eastAsia="Arial" w:hAnsi="Arial"/>
                <w:b w:val="false"/>
                <w:bCs w:val="false"/>
                <w:i w:val="false"/>
                <w:iCs w:val="false"/>
                <w:color w:val="475569"/>
                <w:sz w:val="20"/>
                <w:szCs w:val="20"/>
              </w:rPr>
              <w:t xml:space="preserve"> </w:t>
            </w:r>
          </w:p>
        </w:tc>
      </w:tr>
    </w:tbl>
    <w:p>
      <w:pPr>
        <w:pStyle w:val="Heading1"/>
        <w:spacing w:after="110" w:before="240" w:line="276"/>
      </w:pPr>
      <w:r>
        <w:rPr>
          <w:rFonts w:ascii="Arial" w:cs="Arial" w:eastAsia="Arial" w:hAnsi="Arial"/>
          <w:b/>
          <w:bCs/>
          <w:i w:val="false"/>
          <w:iCs w:val="false"/>
          <w:color w:val="071A2F"/>
          <w:sz w:val="24"/>
          <w:szCs w:val="24"/>
        </w:rPr>
        <w:t xml:space="preserve">Escalation Triggers</w:t>
      </w:r>
    </w:p>
    <w:p>
      <w:pPr>
        <w:spacing w:after="110" w:before="0" w:line="276"/>
      </w:pPr>
      <w:r>
        <w:rPr>
          <w:rFonts w:ascii="Arial" w:cs="Arial" w:eastAsia="Arial" w:hAnsi="Arial"/>
          <w:b w:val="false"/>
          <w:bCs w:val="false"/>
          <w:i w:val="false"/>
          <w:iCs w:val="false"/>
          <w:color w:val="475569"/>
          <w:sz w:val="20"/>
          <w:szCs w:val="20"/>
        </w:rPr>
        <w:t xml:space="preserve">[ ] Complaint. [ ] Credit decision or adverse action. [ ] Account restriction. [ ] Fraud/authentication decision. [ ] Legal/compliance determination. [ ] Customer-specific financial advice. [ ] Unverified policy ambiguity.</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7556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071A2F"/>
      <w:sz w:val="34"/>
      <w:szCs w:val="34"/>
    </w:rPr>
  </w:style>
  <w:style w:type="paragraph" w:styleId="Heading1">
    <w:name w:val="Heading 1"/>
    <w:basedOn w:val="Normal"/>
    <w:next w:val="Normal"/>
    <w:pPr>
      <w:spacing w:after="100" w:before="240"/>
    </w:pPr>
    <w:rPr>
      <w:rFonts w:ascii="Arial" w:cs="Arial" w:eastAsia="Arial" w:hAnsi="Arial"/>
      <w:b/>
      <w:bCs/>
      <w:color w:val="071A2F"/>
      <w:sz w:val="24"/>
      <w:szCs w:val="24"/>
    </w:rPr>
  </w:style>
  <w:style w:type="paragraph" w:styleId="Heading2">
    <w:name w:val="Heading 2"/>
    <w:basedOn w:val="Normal"/>
    <w:next w:val="Normal"/>
    <w:pPr>
      <w:spacing w:after="80" w:before="160"/>
    </w:pPr>
    <w:rPr>
      <w:rFonts w:ascii="Arial" w:cs="Arial" w:eastAsia="Arial" w:hAnsi="Arial"/>
      <w:b/>
      <w:bCs/>
      <w:color w:val="071A2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Procedure-to-Job-Aid Prompt</dc:title>
  <dc:creator>The AI Banking Institute</dc:creator>
  <cp:lastModifiedBy>Un-named</cp:lastModifiedBy>
  <cp:revision>1</cp:revision>
  <dcterms:created xsi:type="dcterms:W3CDTF">2026-06-25T08:45:03.498Z</dcterms:created>
  <dcterms:modified xsi:type="dcterms:W3CDTF">2026-06-25T08:45:03.498Z</dcterms:modified>
</cp:coreProperties>
</file>

<file path=docProps/custom.xml><?xml version="1.0" encoding="utf-8"?>
<Properties xmlns="http://schemas.openxmlformats.org/officeDocument/2006/custom-properties" xmlns:vt="http://schemas.openxmlformats.org/officeDocument/2006/docPropsVTypes"/>
</file>