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B8872D"/>
          <w:sz w:val="18"/>
          <w:szCs w:val="18"/>
        </w:rPr>
        <w:t xml:space="preserve">The AI Banking Institute</w:t>
      </w:r>
    </w:p>
    <w:p>
      <w:pPr>
        <w:pStyle w:val="Title"/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34"/>
          <w:szCs w:val="34"/>
        </w:rPr>
        <w:t xml:space="preserve">AI Workflow SOP Builder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Use this before any AI-assisted workflow becomes repeatable team practice. Document the purpose, tool, data line, review standard, evidence, and escalation triggers in one place.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20"/>
          <w:szCs w:val="20"/>
        </w:rPr>
        <w:t xml:space="preserve">Starter sprint outcome: one approved workflow SOP with a named owner, defined data boundary, human review point, retention rule, and re-review trigger.</w:t>
      </w:r>
    </w:p>
    <w:p>
      <w:pPr>
        <w:pStyle w:val="Heading1"/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24"/>
          <w:szCs w:val="24"/>
        </w:rPr>
        <w:t xml:space="preserve">1. Workflow Record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Field</w:t>
            </w:r>
          </w:p>
        </w:tc>
        <w:tc>
          <w:tcPr>
            <w:tcW w:type="pct" w:w="6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Response / decision</w:t>
            </w:r>
          </w:p>
        </w:tc>
      </w:tr>
      <w:tr>
        <w:tc>
          <w:tcPr>
            <w:tcW w:type="pct" w:w="34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Workflow name</w:t>
            </w:r>
          </w:p>
        </w:tc>
        <w:tc>
          <w:tcPr>
            <w:tcW w:type="pct" w:w="6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Example: AI-assisted meeting-summary draft for internal project huddles.</w:t>
            </w:r>
          </w:p>
        </w:tc>
      </w:tr>
      <w:tr>
        <w:tc>
          <w:tcPr>
            <w:tcW w:type="pct" w:w="34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Department / business line</w:t>
            </w:r>
          </w:p>
        </w:tc>
        <w:tc>
          <w:tcPr>
            <w:tcW w:type="pct" w:w="6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4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Business purpose</w:t>
            </w:r>
          </w:p>
        </w:tc>
        <w:tc>
          <w:tcPr>
            <w:tcW w:type="pct" w:w="6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What work does this improve, and what decision does it not make?</w:t>
            </w:r>
          </w:p>
        </w:tc>
      </w:tr>
      <w:tr>
        <w:tc>
          <w:tcPr>
            <w:tcW w:type="pct" w:w="34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Workflow owner</w:t>
            </w:r>
          </w:p>
        </w:tc>
        <w:tc>
          <w:tcPr>
            <w:tcW w:type="pct" w:w="6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Named accountable business owner.</w:t>
            </w:r>
          </w:p>
        </w:tc>
      </w:tr>
      <w:tr>
        <w:tc>
          <w:tcPr>
            <w:tcW w:type="pct" w:w="34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Approved AI tool</w:t>
            </w:r>
          </w:p>
        </w:tc>
        <w:tc>
          <w:tcPr>
            <w:tcW w:type="pct" w:w="6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Tool name and approval source.</w:t>
            </w:r>
          </w:p>
        </w:tc>
      </w:tr>
      <w:tr>
        <w:tc>
          <w:tcPr>
            <w:tcW w:type="pct" w:w="34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Allowed inputs</w:t>
            </w:r>
          </w:p>
        </w:tc>
        <w:tc>
          <w:tcPr>
            <w:tcW w:type="pct" w:w="6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List only data approved for this workflow.</w:t>
            </w:r>
          </w:p>
        </w:tc>
      </w:tr>
      <w:tr>
        <w:tc>
          <w:tcPr>
            <w:tcW w:type="pct" w:w="34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Prohibited inputs</w:t>
            </w:r>
          </w:p>
        </w:tc>
        <w:tc>
          <w:tcPr>
            <w:tcW w:type="pct" w:w="6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Customer NPI, confidential supervisory information, credentials, SAR/SAR existence, employee medical or personnel records, and any other institution-restricted data.</w:t>
            </w:r>
          </w:p>
        </w:tc>
      </w:tr>
      <w:tr>
        <w:tc>
          <w:tcPr>
            <w:tcW w:type="pct" w:w="34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Expected output</w:t>
            </w:r>
          </w:p>
        </w:tc>
        <w:tc>
          <w:tcPr>
            <w:tcW w:type="pct" w:w="6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Draft, summary, checklist, comparison, or other output type.</w:t>
            </w:r>
          </w:p>
        </w:tc>
      </w:tr>
    </w:tbl>
    <w:p>
      <w:pPr>
        <w:pStyle w:val="Heading1"/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24"/>
          <w:szCs w:val="24"/>
        </w:rPr>
        <w:t xml:space="preserve">2. Review And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Field</w:t>
            </w:r>
          </w:p>
        </w:tc>
        <w:tc>
          <w:tcPr>
            <w:tcW w:type="pct" w:w="6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Response / decision</w:t>
            </w:r>
          </w:p>
        </w:tc>
      </w:tr>
      <w:tr>
        <w:tc>
          <w:tcPr>
            <w:tcW w:type="pct" w:w="34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Human reviewer</w:t>
            </w:r>
          </w:p>
        </w:tc>
        <w:tc>
          <w:tcPr>
            <w:tcW w:type="pct" w:w="6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Name role, not just department.</w:t>
            </w:r>
          </w:p>
        </w:tc>
      </w:tr>
      <w:tr>
        <w:tc>
          <w:tcPr>
            <w:tcW w:type="pct" w:w="34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Review standard</w:t>
            </w:r>
          </w:p>
        </w:tc>
        <w:tc>
          <w:tcPr>
            <w:tcW w:type="pct" w:w="6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What must be checked before output is used? Facts, source support, disclosure, customer impact, tone, policy fit, or other standard.</w:t>
            </w:r>
          </w:p>
        </w:tc>
      </w:tr>
      <w:tr>
        <w:tc>
          <w:tcPr>
            <w:tcW w:type="pct" w:w="34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Approval checkpoint</w:t>
            </w:r>
          </w:p>
        </w:tc>
        <w:tc>
          <w:tcPr>
            <w:tcW w:type="pct" w:w="6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What must happen before reuse or customer-facing use?</w:t>
            </w:r>
          </w:p>
        </w:tc>
      </w:tr>
      <w:tr>
        <w:tc>
          <w:tcPr>
            <w:tcW w:type="pct" w:w="34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Evidence retained</w:t>
            </w:r>
          </w:p>
        </w:tc>
        <w:tc>
          <w:tcPr>
            <w:tcW w:type="pct" w:w="6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Prompt, source material, AI output, human edits, approval, final version, and retention location.</w:t>
            </w:r>
          </w:p>
        </w:tc>
      </w:tr>
      <w:tr>
        <w:tc>
          <w:tcPr>
            <w:tcW w:type="pct" w:w="34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Next review date</w:t>
            </w:r>
          </w:p>
        </w:tc>
        <w:tc>
          <w:tcPr>
            <w:tcW w:type="pct" w:w="6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4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Re-review trigger</w:t>
            </w:r>
          </w:p>
        </w:tc>
        <w:tc>
          <w:tcPr>
            <w:tcW w:type="pct" w:w="6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Tool change, policy change, data change, complaint, incident, failed QA, new use case, or expanded audience.</w:t>
            </w:r>
          </w:p>
        </w:tc>
      </w:tr>
      <w:tr>
        <w:tc>
          <w:tcPr>
            <w:tcW w:type="pct" w:w="34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Escalation trigger</w:t>
            </w:r>
          </w:p>
        </w:tc>
        <w:tc>
          <w:tcPr>
            <w:tcW w:type="pct" w:w="6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Red use case, prohibited data, uncertain answer, regulated decision, customer harm concern, or output that cannot be verified.</w:t>
            </w:r>
          </w:p>
        </w:tc>
      </w:tr>
    </w:tbl>
    <w:p>
      <w:pPr>
        <w:pStyle w:val="Heading1"/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24"/>
          <w:szCs w:val="24"/>
        </w:rPr>
        <w:t xml:space="preserve">3. Use-Case Classification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[ ] Green: internal draft, summary, checklist, or training support using approved inputs only.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[ ] Yellow: could affect customer communication, policy, controls, examiner-facing material, or financial decision support; requires documented review.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[ ] Red: asks AI to make or replace a regulated, employment, authentication, fraud, credit, SAR, legal, or compliance decision; stop and escalate.</w:t>
      </w:r>
    </w:p>
    <w:p>
      <w:pPr>
        <w:pStyle w:val="Heading2"/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21"/>
          <w:szCs w:val="21"/>
        </w:rPr>
        <w:t xml:space="preserve">Source language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Current model-risk guidance, including SR 26-2 where applicable, should be considered when AI supports scoring, pricing, risk ranking, eligibility, fraud, or other model-like decision processes. Generative AI used for drafting, summarization, file organization, or language support should still be governed through approved-tool controls, data boundaries, human review, evidence retention, vendor oversight, and incident response.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The AIEOG AI Lexicon and Financial Services AI Risk Management Framework support common terminology and lifecycle AI risk management. Treat them as practical governance references, not as standalone examiner mandates.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071A2F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Arial" w:cs="Arial" w:eastAsia="Arial" w:hAnsi="Arial"/>
      <w:b/>
      <w:bCs/>
      <w:color w:val="071A2F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071A2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Workflow SOP Builder</dc:title>
  <dc:creator>The AI Banking Institute</dc:creator>
  <dc:description>Editable governance starter kit template for documenting one reusable AI-assisted workflow.</dc:description>
  <cp:lastModifiedBy>Un-named</cp:lastModifiedBy>
  <cp:revision>1</cp:revision>
  <dcterms:created xsi:type="dcterms:W3CDTF">2026-06-25T08:38:56.691Z</dcterms:created>
  <dcterms:modified xsi:type="dcterms:W3CDTF">2026-06-25T08:38:56.692Z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