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r>
        <w:t xml:space="preserve"/>
      </w:r>
    </w:p>
    <w:p>
      <w:pPr>
        <w:spacing w:after="200"/>
        <w:jc w:val="left"/>
      </w:pPr>
      <w:r>
        <w:rPr>
          <w:rFonts w:ascii="Calibri" w:cs="Calibri" w:eastAsia="Calibri" w:hAnsi="Calibri"/>
          <w:b/>
          <w:bCs/>
          <w:color w:val="7A2A38"/>
          <w:spacing w:val="60"/>
          <w:sz w:val="22"/>
          <w:szCs w:val="22"/>
        </w:rPr>
        <w:t xml:space="preserve">PRODUCT REQUIREMENTS DOCUMENT</w:t>
      </w:r>
    </w:p>
    <w:p>
      <w:pPr>
        <w:pBdr>
          <w:bottom w:val="single" w:color="7A2A38" w:sz="12" w:space="1"/>
        </w:pBdr>
        <w:spacing w:after="480"/>
      </w:pPr>
    </w:p>
    <w:p>
      <w:pPr>
        <w:spacing w:after="80"/>
      </w:pPr>
      <w:r>
        <w:rPr>
          <w:rFonts w:ascii="Calibri" w:cs="Calibri" w:eastAsia="Calibri" w:hAnsi="Calibri"/>
          <w:b/>
          <w:bCs/>
          <w:color w:val="1A2332"/>
          <w:sz w:val="64"/>
          <w:szCs w:val="64"/>
        </w:rPr>
        <w:t xml:space="preserve">Banking AI Playground</w:t>
      </w:r>
    </w:p>
    <w:p>
      <w:pPr>
        <w:spacing w:after="240"/>
      </w:pPr>
      <w:r>
        <w:rPr>
          <w:rFonts w:ascii="Calibri" w:cs="Calibri" w:eastAsia="Calibri" w:hAnsi="Calibri"/>
          <w:i/>
          <w:iCs/>
          <w:color w:val="7A2A38"/>
          <w:sz w:val="56"/>
          <w:szCs w:val="56"/>
        </w:rPr>
        <w:t xml:space="preserve">&amp; Toolbox</w:t>
      </w:r>
    </w:p>
    <w:p>
      <w:pPr>
        <w:spacing w:after="600" w:line="360"/>
      </w:pPr>
      <w:r>
        <w:rPr>
          <w:rFonts w:ascii="Calibri" w:cs="Calibri" w:eastAsia="Calibri" w:hAnsi="Calibri"/>
          <w:i/>
          <w:iCs/>
          <w:color w:val="2D3B4D"/>
          <w:sz w:val="26"/>
          <w:szCs w:val="26"/>
        </w:rPr>
        <w:t xml:space="preserve">A premium learning module within the AI Banking Institute LMS for building, testing, and deploying durable AI workflows in regulated financial institutions.</w:t>
      </w:r>
    </w:p>
    <w:p>
      <w:pPr>
        <w:pBdr>
          <w:bottom w:val="single" w:color="E0D8C7" w:sz="6" w:space="1"/>
        </w:pBd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ECE5D5" w:sz="1"/>
              <w:left w:val="none" w:color="FFFFFF" w:sz="0"/>
              <w:bottom w:val="single" w:color="ECE5D5" w:sz="1"/>
              <w:right w:val="none" w:color="FFFFFF" w:sz="0"/>
            </w:tcBorders>
            <w:tcMar>
              <w:top w:type="dxa" w:w="100"/>
              <w:left w:type="dxa" w:w="0"/>
              <w:bottom w:type="dxa" w:w="100"/>
              <w:right w:type="dxa" w:w="120"/>
            </w:tcMar>
          </w:tcPr>
          <w:p>
            <w:r>
              <w:rPr>
                <w:rFonts w:ascii="Calibri" w:cs="Calibri" w:eastAsia="Calibri" w:hAnsi="Calibri"/>
                <w:b/>
                <w:bCs/>
                <w:color w:val="1A2332"/>
                <w:sz w:val="22"/>
                <w:szCs w:val="22"/>
              </w:rPr>
              <w:t xml:space="preserve">Document version</w:t>
            </w:r>
          </w:p>
        </w:tc>
        <w:tc>
          <w:tcPr>
            <w:tcW w:type="dxa" w:w="6480"/>
            <w:tcBorders>
              <w:top w:val="single" w:color="ECE5D5" w:sz="1"/>
              <w:left w:val="none" w:color="FFFFFF" w:sz="0"/>
              <w:bottom w:val="single" w:color="ECE5D5" w:sz="1"/>
              <w:right w:val="none" w:color="FFFFFF" w:sz="0"/>
            </w:tcBorders>
            <w:tcMar>
              <w:top w:type="dxa" w:w="100"/>
              <w:left w:type="dxa" w:w="0"/>
              <w:bottom w:type="dxa" w:w="100"/>
              <w:right w:type="dxa" w:w="0"/>
            </w:tcMar>
          </w:tcPr>
          <w:p>
            <w:r>
              <w:rPr>
                <w:rFonts w:ascii="Calibri" w:cs="Calibri" w:eastAsia="Calibri" w:hAnsi="Calibri"/>
                <w:color w:val="2D3B4D"/>
                <w:sz w:val="22"/>
                <w:szCs w:val="22"/>
              </w:rPr>
              <w:t xml:space="preserve">1.0</w:t>
            </w:r>
          </w:p>
        </w:tc>
      </w:tr>
      <w:tr>
        <w:tc>
          <w:tcPr>
            <w:tcW w:type="dxa" w:w="2880"/>
            <w:tcBorders>
              <w:top w:val="single" w:color="ECE5D5" w:sz="1"/>
              <w:left w:val="none" w:color="FFFFFF" w:sz="0"/>
              <w:bottom w:val="single" w:color="ECE5D5" w:sz="1"/>
              <w:right w:val="none" w:color="FFFFFF" w:sz="0"/>
            </w:tcBorders>
            <w:tcMar>
              <w:top w:type="dxa" w:w="100"/>
              <w:left w:type="dxa" w:w="0"/>
              <w:bottom w:type="dxa" w:w="100"/>
              <w:right w:type="dxa" w:w="120"/>
            </w:tcMar>
          </w:tcPr>
          <w:p>
            <w:r>
              <w:rPr>
                <w:rFonts w:ascii="Calibri" w:cs="Calibri" w:eastAsia="Calibri" w:hAnsi="Calibri"/>
                <w:b/>
                <w:bCs/>
                <w:color w:val="1A2332"/>
                <w:sz w:val="22"/>
                <w:szCs w:val="22"/>
              </w:rPr>
              <w:t xml:space="preserve">Status</w:t>
            </w:r>
          </w:p>
        </w:tc>
        <w:tc>
          <w:tcPr>
            <w:tcW w:type="dxa" w:w="6480"/>
            <w:tcBorders>
              <w:top w:val="single" w:color="ECE5D5" w:sz="1"/>
              <w:left w:val="none" w:color="FFFFFF" w:sz="0"/>
              <w:bottom w:val="single" w:color="ECE5D5" w:sz="1"/>
              <w:right w:val="none" w:color="FFFFFF" w:sz="0"/>
            </w:tcBorders>
            <w:tcMar>
              <w:top w:type="dxa" w:w="100"/>
              <w:left w:type="dxa" w:w="0"/>
              <w:bottom w:type="dxa" w:w="100"/>
              <w:right w:type="dxa" w:w="0"/>
            </w:tcMar>
          </w:tcPr>
          <w:p>
            <w:r>
              <w:rPr>
                <w:rFonts w:ascii="Calibri" w:cs="Calibri" w:eastAsia="Calibri" w:hAnsi="Calibri"/>
                <w:color w:val="2D3B4D"/>
                <w:sz w:val="22"/>
                <w:szCs w:val="22"/>
              </w:rPr>
              <w:t xml:space="preserve">Draft for review</w:t>
            </w:r>
          </w:p>
        </w:tc>
      </w:tr>
      <w:tr>
        <w:tc>
          <w:tcPr>
            <w:tcW w:type="dxa" w:w="2880"/>
            <w:tcBorders>
              <w:top w:val="single" w:color="ECE5D5" w:sz="1"/>
              <w:left w:val="none" w:color="FFFFFF" w:sz="0"/>
              <w:bottom w:val="single" w:color="ECE5D5" w:sz="1"/>
              <w:right w:val="none" w:color="FFFFFF" w:sz="0"/>
            </w:tcBorders>
            <w:tcMar>
              <w:top w:type="dxa" w:w="100"/>
              <w:left w:type="dxa" w:w="0"/>
              <w:bottom w:type="dxa" w:w="100"/>
              <w:right w:type="dxa" w:w="120"/>
            </w:tcMar>
          </w:tcPr>
          <w:p>
            <w:r>
              <w:rPr>
                <w:rFonts w:ascii="Calibri" w:cs="Calibri" w:eastAsia="Calibri" w:hAnsi="Calibri"/>
                <w:b/>
                <w:bCs/>
                <w:color w:val="1A2332"/>
                <w:sz w:val="22"/>
                <w:szCs w:val="22"/>
              </w:rPr>
              <w:t xml:space="preserve">Owner</w:t>
            </w:r>
          </w:p>
        </w:tc>
        <w:tc>
          <w:tcPr>
            <w:tcW w:type="dxa" w:w="6480"/>
            <w:tcBorders>
              <w:top w:val="single" w:color="ECE5D5" w:sz="1"/>
              <w:left w:val="none" w:color="FFFFFF" w:sz="0"/>
              <w:bottom w:val="single" w:color="ECE5D5" w:sz="1"/>
              <w:right w:val="none" w:color="FFFFFF" w:sz="0"/>
            </w:tcBorders>
            <w:tcMar>
              <w:top w:type="dxa" w:w="100"/>
              <w:left w:type="dxa" w:w="0"/>
              <w:bottom w:type="dxa" w:w="100"/>
              <w:right w:type="dxa" w:w="0"/>
            </w:tcMar>
          </w:tcPr>
          <w:p>
            <w:r>
              <w:rPr>
                <w:rFonts w:ascii="Calibri" w:cs="Calibri" w:eastAsia="Calibri" w:hAnsi="Calibri"/>
                <w:color w:val="2D3B4D"/>
                <w:sz w:val="22"/>
                <w:szCs w:val="22"/>
              </w:rPr>
              <w:t xml:space="preserve">James Bohmbach, Client Services Manager</w:t>
            </w:r>
          </w:p>
        </w:tc>
      </w:tr>
      <w:tr>
        <w:tc>
          <w:tcPr>
            <w:tcW w:type="dxa" w:w="2880"/>
            <w:tcBorders>
              <w:top w:val="single" w:color="ECE5D5" w:sz="1"/>
              <w:left w:val="none" w:color="FFFFFF" w:sz="0"/>
              <w:bottom w:val="single" w:color="ECE5D5" w:sz="1"/>
              <w:right w:val="none" w:color="FFFFFF" w:sz="0"/>
            </w:tcBorders>
            <w:tcMar>
              <w:top w:type="dxa" w:w="100"/>
              <w:left w:type="dxa" w:w="0"/>
              <w:bottom w:type="dxa" w:w="100"/>
              <w:right w:type="dxa" w:w="120"/>
            </w:tcMar>
          </w:tcPr>
          <w:p>
            <w:r>
              <w:rPr>
                <w:rFonts w:ascii="Calibri" w:cs="Calibri" w:eastAsia="Calibri" w:hAnsi="Calibri"/>
                <w:b/>
                <w:bCs/>
                <w:color w:val="1A2332"/>
                <w:sz w:val="22"/>
                <w:szCs w:val="22"/>
              </w:rPr>
              <w:t xml:space="preserve">Audience</w:t>
            </w:r>
          </w:p>
        </w:tc>
        <w:tc>
          <w:tcPr>
            <w:tcW w:type="dxa" w:w="6480"/>
            <w:tcBorders>
              <w:top w:val="single" w:color="ECE5D5" w:sz="1"/>
              <w:left w:val="none" w:color="FFFFFF" w:sz="0"/>
              <w:bottom w:val="single" w:color="ECE5D5" w:sz="1"/>
              <w:right w:val="none" w:color="FFFFFF" w:sz="0"/>
            </w:tcBorders>
            <w:tcMar>
              <w:top w:type="dxa" w:w="100"/>
              <w:left w:type="dxa" w:w="0"/>
              <w:bottom w:type="dxa" w:w="100"/>
              <w:right w:type="dxa" w:w="0"/>
            </w:tcMar>
          </w:tcPr>
          <w:p>
            <w:r>
              <w:rPr>
                <w:rFonts w:ascii="Calibri" w:cs="Calibri" w:eastAsia="Calibri" w:hAnsi="Calibri"/>
                <w:color w:val="2D3B4D"/>
                <w:sz w:val="22"/>
                <w:szCs w:val="22"/>
              </w:rPr>
              <w:t xml:space="preserve">AIBI engineering, design, content &amp; compliance teams</w:t>
            </w:r>
          </w:p>
        </w:tc>
      </w:tr>
      <w:tr>
        <w:tc>
          <w:tcPr>
            <w:tcW w:type="dxa" w:w="2880"/>
            <w:tcBorders>
              <w:top w:val="single" w:color="ECE5D5" w:sz="1"/>
              <w:left w:val="none" w:color="FFFFFF" w:sz="0"/>
              <w:bottom w:val="single" w:color="ECE5D5" w:sz="1"/>
              <w:right w:val="none" w:color="FFFFFF" w:sz="0"/>
            </w:tcBorders>
            <w:tcMar>
              <w:top w:type="dxa" w:w="100"/>
              <w:left w:type="dxa" w:w="0"/>
              <w:bottom w:type="dxa" w:w="100"/>
              <w:right w:type="dxa" w:w="120"/>
            </w:tcMar>
          </w:tcPr>
          <w:p>
            <w:r>
              <w:rPr>
                <w:rFonts w:ascii="Calibri" w:cs="Calibri" w:eastAsia="Calibri" w:hAnsi="Calibri"/>
                <w:b/>
                <w:bCs/>
                <w:color w:val="1A2332"/>
                <w:sz w:val="22"/>
                <w:szCs w:val="22"/>
              </w:rPr>
              <w:t xml:space="preserve">Module</w:t>
            </w:r>
          </w:p>
        </w:tc>
        <w:tc>
          <w:tcPr>
            <w:tcW w:type="dxa" w:w="6480"/>
            <w:tcBorders>
              <w:top w:val="single" w:color="ECE5D5" w:sz="1"/>
              <w:left w:val="none" w:color="FFFFFF" w:sz="0"/>
              <w:bottom w:val="single" w:color="ECE5D5" w:sz="1"/>
              <w:right w:val="none" w:color="FFFFFF" w:sz="0"/>
            </w:tcBorders>
            <w:tcMar>
              <w:top w:type="dxa" w:w="100"/>
              <w:left w:type="dxa" w:w="0"/>
              <w:bottom w:type="dxa" w:w="100"/>
              <w:right w:type="dxa" w:w="0"/>
            </w:tcMar>
          </w:tcPr>
          <w:p>
            <w:r>
              <w:rPr>
                <w:rFonts w:ascii="Calibri" w:cs="Calibri" w:eastAsia="Calibri" w:hAnsi="Calibri"/>
                <w:color w:val="2D3B4D"/>
                <w:sz w:val="22"/>
                <w:szCs w:val="22"/>
              </w:rPr>
              <w:t xml:space="preserve">AI Banking Institute Toolbox · Premium Feature</w:t>
            </w:r>
          </w:p>
        </w:tc>
      </w:tr>
      <w:tr>
        <w:tc>
          <w:tcPr>
            <w:tcW w:type="dxa" w:w="2880"/>
            <w:tcBorders>
              <w:top w:val="single" w:color="ECE5D5" w:sz="1"/>
              <w:left w:val="none" w:color="FFFFFF" w:sz="0"/>
              <w:bottom w:val="single" w:color="ECE5D5" w:sz="1"/>
              <w:right w:val="none" w:color="FFFFFF" w:sz="0"/>
            </w:tcBorders>
            <w:tcMar>
              <w:top w:type="dxa" w:w="100"/>
              <w:left w:type="dxa" w:w="0"/>
              <w:bottom w:type="dxa" w:w="100"/>
              <w:right w:type="dxa" w:w="120"/>
            </w:tcMar>
          </w:tcPr>
          <w:p>
            <w:r>
              <w:rPr>
                <w:rFonts w:ascii="Calibri" w:cs="Calibri" w:eastAsia="Calibri" w:hAnsi="Calibri"/>
                <w:b/>
                <w:bCs/>
                <w:color w:val="1A2332"/>
                <w:sz w:val="22"/>
                <w:szCs w:val="22"/>
              </w:rPr>
              <w:t xml:space="preserve">Date</w:t>
            </w:r>
          </w:p>
        </w:tc>
        <w:tc>
          <w:tcPr>
            <w:tcW w:type="dxa" w:w="6480"/>
            <w:tcBorders>
              <w:top w:val="single" w:color="ECE5D5" w:sz="1"/>
              <w:left w:val="none" w:color="FFFFFF" w:sz="0"/>
              <w:bottom w:val="single" w:color="ECE5D5" w:sz="1"/>
              <w:right w:val="none" w:color="FFFFFF" w:sz="0"/>
            </w:tcBorders>
            <w:tcMar>
              <w:top w:type="dxa" w:w="100"/>
              <w:left w:type="dxa" w:w="0"/>
              <w:bottom w:type="dxa" w:w="100"/>
              <w:right w:type="dxa" w:w="0"/>
            </w:tcMar>
          </w:tcPr>
          <w:p>
            <w:r>
              <w:rPr>
                <w:rFonts w:ascii="Calibri" w:cs="Calibri" w:eastAsia="Calibri" w:hAnsi="Calibri"/>
                <w:color w:val="2D3B4D"/>
                <w:sz w:val="22"/>
                <w:szCs w:val="22"/>
              </w:rPr>
              <w:t xml:space="preserve">April 28, 2026</w:t>
            </w:r>
          </w:p>
        </w:tc>
      </w:tr>
      <w:tr>
        <w:tc>
          <w:tcPr>
            <w:tcW w:type="dxa" w:w="2880"/>
            <w:tcBorders>
              <w:top w:val="single" w:color="ECE5D5" w:sz="1"/>
              <w:left w:val="none" w:color="FFFFFF" w:sz="0"/>
              <w:bottom w:val="single" w:color="ECE5D5" w:sz="1"/>
              <w:right w:val="none" w:color="FFFFFF" w:sz="0"/>
            </w:tcBorders>
            <w:tcMar>
              <w:top w:type="dxa" w:w="100"/>
              <w:left w:type="dxa" w:w="0"/>
              <w:bottom w:type="dxa" w:w="100"/>
              <w:right w:type="dxa" w:w="120"/>
            </w:tcMar>
          </w:tcPr>
          <w:p>
            <w:r>
              <w:rPr>
                <w:rFonts w:ascii="Calibri" w:cs="Calibri" w:eastAsia="Calibri" w:hAnsi="Calibri"/>
                <w:b/>
                <w:bCs/>
                <w:color w:val="1A2332"/>
                <w:sz w:val="22"/>
                <w:szCs w:val="22"/>
              </w:rPr>
              <w:t xml:space="preserve">Related artifacts</w:t>
            </w:r>
          </w:p>
        </w:tc>
        <w:tc>
          <w:tcPr>
            <w:tcW w:type="dxa" w:w="6480"/>
            <w:tcBorders>
              <w:top w:val="single" w:color="ECE5D5" w:sz="1"/>
              <w:left w:val="none" w:color="FFFFFF" w:sz="0"/>
              <w:bottom w:val="single" w:color="ECE5D5" w:sz="1"/>
              <w:right w:val="none" w:color="FFFFFF" w:sz="0"/>
            </w:tcBorders>
            <w:tcMar>
              <w:top w:type="dxa" w:w="100"/>
              <w:left w:type="dxa" w:w="0"/>
              <w:bottom w:type="dxa" w:w="100"/>
              <w:right w:type="dxa" w:w="0"/>
            </w:tcMar>
          </w:tcPr>
          <w:p>
            <w:r>
              <w:rPr>
                <w:rFonts w:ascii="Calibri" w:cs="Calibri" w:eastAsia="Calibri" w:hAnsi="Calibri"/>
                <w:color w:val="2D3B4D"/>
                <w:sz w:val="22"/>
                <w:szCs w:val="22"/>
              </w:rPr>
              <w:t xml:space="preserve">aibi-banking-playground.html (working prototype)</w:t>
            </w:r>
          </w:p>
        </w:tc>
      </w:tr>
    </w:tbl>
    <w:p>
      <w:pPr>
        <w:pStyle w:val="Heading1"/>
        <w:pageBreakBefore/>
        <w:spacing w:after="240" w:before="480"/>
      </w:pPr>
      <w:r>
        <w:rPr>
          <w:rFonts w:ascii="Calibri" w:cs="Calibri" w:eastAsia="Calibri" w:hAnsi="Calibri"/>
          <w:b/>
          <w:bCs/>
          <w:color w:val="1A2332"/>
          <w:sz w:val="36"/>
          <w:szCs w:val="36"/>
        </w:rPr>
        <w:t xml:space="preserve">1. Executive Summary</w:t>
      </w:r>
    </w:p>
    <w:p>
      <w:pPr>
        <w:spacing w:after="160" w:line="320"/>
      </w:pPr>
      <w:r>
        <w:rPr>
          <w:rFonts w:ascii="Calibri" w:cs="Calibri" w:eastAsia="Calibri" w:hAnsi="Calibri"/>
          <w:sz w:val="22"/>
          <w:szCs w:val="22"/>
        </w:rPr>
        <w:t xml:space="preserve">The Banking AI Playground &amp; Toolbox is a five-stage learning module embedded in the AI Banking Institute (AIBI) LMS. It teaches banking and credit union professionals to build durable, governed AI workflows — called skills — for the recurring institutional work that defines their roles: credit memos, SAR narratives, exam preparation, board packages, vendor risk assessments, and member complaint resolution.</w:t>
      </w:r>
    </w:p>
    <w:p>
      <w:pPr>
        <w:spacing w:after="160" w:line="320"/>
      </w:pPr>
      <w:r>
        <w:rPr>
          <w:rFonts w:ascii="Calibri" w:cs="Calibri" w:eastAsia="Calibri" w:hAnsi="Calibri"/>
          <w:sz w:val="22"/>
          <w:szCs w:val="22"/>
        </w:rPr>
        <w:t xml:space="preserve">Unlike conventional prompt-engineering content, this module treats AI as an institutional capability rather than a personal productivity tool. Skills are versioned, owned, audited, and saved to a Toolbox that can be exported as Markdown files to GitHub for repository-based deployment in any compatible Claude interface.</w:t>
      </w:r>
    </w:p>
    <w:p>
      <w:pPr>
        <w:spacing w:after="160" w:line="320"/>
      </w:pPr>
      <w:r>
        <w:rPr>
          <w:rFonts w:ascii="Calibri" w:cs="Calibri" w:eastAsia="Calibri" w:hAnsi="Calibri"/>
          <w:sz w:val="22"/>
          <w:szCs w:val="22"/>
        </w:rPr>
        <w:t xml:space="preserve">The module is the first in a planned series of premium AIBI Toolbox modules. A future Prompt Builder module will follow the same architectural pattern under a separate storage namespace.</w:t>
      </w:r>
    </w:p>
    <w:p>
      <w:pPr>
        <w:pStyle w:val="Heading3"/>
        <w:spacing w:after="120" w:before="280"/>
      </w:pPr>
      <w:r>
        <w:rPr>
          <w:rFonts w:ascii="Calibri" w:cs="Calibri" w:eastAsia="Calibri" w:hAnsi="Calibri"/>
          <w:b/>
          <w:bCs/>
          <w:color w:val="1A2332"/>
          <w:sz w:val="24"/>
          <w:szCs w:val="24"/>
        </w:rPr>
        <w:t xml:space="preserve">Strategic objectives</w:t>
      </w:r>
    </w:p>
    <w:p>
      <w:pPr>
        <w:pStyle w:val="ListParagraph"/>
        <w:numPr>
          <w:ilvl w:val="0"/>
          <w:numId w:val="2"/>
        </w:numPr>
        <w:spacing w:after="80" w:line="300"/>
      </w:pPr>
      <w:r>
        <w:rPr>
          <w:rFonts w:ascii="Calibri" w:cs="Calibri" w:eastAsia="Calibri" w:hAnsi="Calibri"/>
          <w:sz w:val="22"/>
          <w:szCs w:val="22"/>
        </w:rPr>
        <w:t xml:space="preserve">Differentiate AIBI from generic AI courseware by teaching banking-specific, regulator-aware AI engineering.</w:t>
      </w:r>
    </w:p>
    <w:p>
      <w:pPr>
        <w:pStyle w:val="ListParagraph"/>
        <w:numPr>
          <w:ilvl w:val="0"/>
          <w:numId w:val="2"/>
        </w:numPr>
        <w:spacing w:after="80" w:line="300"/>
      </w:pPr>
      <w:r>
        <w:rPr>
          <w:rFonts w:ascii="Calibri" w:cs="Calibri" w:eastAsia="Calibri" w:hAnsi="Calibri"/>
          <w:sz w:val="22"/>
          <w:szCs w:val="22"/>
        </w:rPr>
        <w:t xml:space="preserve">Convert passive learners into active builders — every learner leaves with at least one working, tested skill saved to their Toolbox.</w:t>
      </w:r>
    </w:p>
    <w:p>
      <w:pPr>
        <w:pStyle w:val="ListParagraph"/>
        <w:numPr>
          <w:ilvl w:val="0"/>
          <w:numId w:val="2"/>
        </w:numPr>
        <w:spacing w:after="80" w:line="300"/>
      </w:pPr>
      <w:r>
        <w:rPr>
          <w:rFonts w:ascii="Calibri" w:cs="Calibri" w:eastAsia="Calibri" w:hAnsi="Calibri"/>
          <w:sz w:val="22"/>
          <w:szCs w:val="22"/>
        </w:rPr>
        <w:t xml:space="preserve">Establish AIBI as the standard for institutional AI methodology in community banking and credit unions.</w:t>
      </w:r>
    </w:p>
    <w:p>
      <w:pPr>
        <w:pStyle w:val="ListParagraph"/>
        <w:numPr>
          <w:ilvl w:val="0"/>
          <w:numId w:val="2"/>
        </w:numPr>
        <w:spacing w:after="80" w:line="300"/>
      </w:pPr>
      <w:r>
        <w:rPr>
          <w:rFonts w:ascii="Calibri" w:cs="Calibri" w:eastAsia="Calibri" w:hAnsi="Calibri"/>
          <w:sz w:val="22"/>
          <w:szCs w:val="22"/>
        </w:rPr>
        <w:t xml:space="preserve">Create a path to enterprise licensing (institution-level Toolbox deployments managed by compliance teams).</w:t>
      </w:r>
    </w:p>
    <w:p>
      <w:pPr>
        <w:pStyle w:val="Heading3"/>
        <w:spacing w:after="120" w:before="280"/>
      </w:pPr>
      <w:r>
        <w:rPr>
          <w:rFonts w:ascii="Calibri" w:cs="Calibri" w:eastAsia="Calibri" w:hAnsi="Calibri"/>
          <w:b/>
          <w:bCs/>
          <w:color w:val="1A2332"/>
          <w:sz w:val="24"/>
          <w:szCs w:val="24"/>
        </w:rPr>
        <w:t xml:space="preserve">Module-at-a-glance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1A2332" w:sz="1"/>
              <w:left w:val="single" w:color="1A2332" w:sz="1"/>
              <w:bottom w:val="single" w:color="1A2332" w:sz="1"/>
              <w:right w:val="single" w:color="1A2332" w:sz="1"/>
            </w:tcBorders>
            <w:shd w:fill="1A2332" w:val="clear"/>
            <w:tcMar>
              <w:top w:type="dxa" w:w="120"/>
              <w:left w:type="dxa" w:w="140"/>
              <w:bottom w:type="dxa" w:w="120"/>
              <w:right w:type="dxa" w:w="140"/>
            </w:tcMar>
          </w:tcPr>
          <w:p>
            <w:r>
              <w:rPr>
                <w:rFonts w:ascii="Calibri" w:cs="Calibri" w:eastAsia="Calibri" w:hAnsi="Calibri"/>
                <w:b/>
                <w:bCs/>
                <w:color w:val="FFFFFF"/>
                <w:spacing w:val="20"/>
                <w:sz w:val="18"/>
                <w:szCs w:val="18"/>
              </w:rPr>
              <w:t xml:space="preserve">Stage</w:t>
            </w:r>
          </w:p>
        </w:tc>
        <w:tc>
          <w:tcPr>
            <w:tcW w:type="dxa" w:w="4000"/>
            <w:tcBorders>
              <w:top w:val="single" w:color="1A2332" w:sz="1"/>
              <w:left w:val="single" w:color="1A2332" w:sz="1"/>
              <w:bottom w:val="single" w:color="1A2332" w:sz="1"/>
              <w:right w:val="single" w:color="1A2332" w:sz="1"/>
            </w:tcBorders>
            <w:shd w:fill="1A2332" w:val="clear"/>
            <w:tcMar>
              <w:top w:type="dxa" w:w="120"/>
              <w:left w:type="dxa" w:w="140"/>
              <w:bottom w:type="dxa" w:w="120"/>
              <w:right w:type="dxa" w:w="140"/>
            </w:tcMar>
          </w:tcPr>
          <w:p>
            <w:r>
              <w:rPr>
                <w:rFonts w:ascii="Calibri" w:cs="Calibri" w:eastAsia="Calibri" w:hAnsi="Calibri"/>
                <w:b/>
                <w:bCs/>
                <w:color w:val="FFFFFF"/>
                <w:spacing w:val="20"/>
                <w:sz w:val="18"/>
                <w:szCs w:val="18"/>
              </w:rPr>
              <w:t xml:space="preserve">Purpose</w:t>
            </w:r>
          </w:p>
        </w:tc>
        <w:tc>
          <w:tcPr>
            <w:tcW w:type="dxa" w:w="3760"/>
            <w:tcBorders>
              <w:top w:val="single" w:color="1A2332" w:sz="1"/>
              <w:left w:val="single" w:color="1A2332" w:sz="1"/>
              <w:bottom w:val="single" w:color="1A2332" w:sz="1"/>
              <w:right w:val="single" w:color="1A2332" w:sz="1"/>
            </w:tcBorders>
            <w:shd w:fill="1A2332" w:val="clear"/>
            <w:tcMar>
              <w:top w:type="dxa" w:w="120"/>
              <w:left w:type="dxa" w:w="140"/>
              <w:bottom w:type="dxa" w:w="120"/>
              <w:right w:type="dxa" w:w="140"/>
            </w:tcMar>
          </w:tcPr>
          <w:p>
            <w:r>
              <w:rPr>
                <w:rFonts w:ascii="Calibri" w:cs="Calibri" w:eastAsia="Calibri" w:hAnsi="Calibri"/>
                <w:b/>
                <w:bCs/>
                <w:color w:val="FFFFFF"/>
                <w:spacing w:val="20"/>
                <w:sz w:val="18"/>
                <w:szCs w:val="18"/>
              </w:rPr>
              <w:t xml:space="preserve">Primary user action</w:t>
            </w:r>
          </w:p>
        </w:tc>
      </w:tr>
      <w:tr>
        <w:tc>
          <w:tcPr>
            <w:tcW w:type="dxa" w:w="16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i. Start Here</w:t>
            </w:r>
          </w:p>
        </w:tc>
        <w:tc>
          <w:tcPr>
            <w:tcW w:type="dxa" w:w="40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Orientation and concept introduction</w:t>
            </w:r>
          </w:p>
        </w:tc>
        <w:tc>
          <w:tcPr>
            <w:tcW w:type="dxa" w:w="376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Read; pick a path</w:t>
            </w:r>
          </w:p>
        </w:tc>
      </w:tr>
      <w:tr>
        <w:tc>
          <w:tcPr>
            <w:tcW w:type="dxa" w:w="16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ii. Cookbook</w:t>
            </w:r>
          </w:p>
        </w:tc>
        <w:tc>
          <w:tcPr>
            <w:tcW w:type="dxa" w:w="40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Browse 15 banking skill templates</w:t>
            </w:r>
          </w:p>
        </w:tc>
        <w:tc>
          <w:tcPr>
            <w:tcW w:type="dxa" w:w="376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Try a template; customize one</w:t>
            </w:r>
          </w:p>
        </w:tc>
      </w:tr>
      <w:tr>
        <w:tc>
          <w:tcPr>
            <w:tcW w:type="dxa" w:w="16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iii. Build</w:t>
            </w:r>
          </w:p>
        </w:tc>
        <w:tc>
          <w:tcPr>
            <w:tcW w:type="dxa" w:w="40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5-step wizard for custom skills</w:t>
            </w:r>
          </w:p>
        </w:tc>
        <w:tc>
          <w:tcPr>
            <w:tcW w:type="dxa" w:w="376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Author a new skill</w:t>
            </w:r>
          </w:p>
        </w:tc>
      </w:tr>
      <w:tr>
        <w:tc>
          <w:tcPr>
            <w:tcW w:type="dxa" w:w="16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iv. Playground</w:t>
            </w:r>
          </w:p>
        </w:tc>
        <w:tc>
          <w:tcPr>
            <w:tcW w:type="dxa" w:w="40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Live API-powered skill testing</w:t>
            </w:r>
          </w:p>
        </w:tc>
        <w:tc>
          <w:tcPr>
            <w:tcW w:type="dxa" w:w="376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Run scenarios against Claude</w:t>
            </w:r>
          </w:p>
        </w:tc>
      </w:tr>
      <w:tr>
        <w:tc>
          <w:tcPr>
            <w:tcW w:type="dxa" w:w="16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v. My Toolbox</w:t>
            </w:r>
          </w:p>
        </w:tc>
        <w:tc>
          <w:tcPr>
            <w:tcW w:type="dxa" w:w="40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Persistent saved skill library</w:t>
            </w:r>
          </w:p>
        </w:tc>
        <w:tc>
          <w:tcPr>
            <w:tcW w:type="dxa" w:w="376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Edit, run, export to GitHub</w:t>
            </w:r>
          </w:p>
        </w:tc>
      </w:tr>
    </w:tbl>
    <w:p>
      <w:pPr>
        <w:pStyle w:val="Heading1"/>
        <w:pageBreakBefore/>
        <w:spacing w:after="240" w:before="480"/>
      </w:pPr>
      <w:r>
        <w:rPr>
          <w:rFonts w:ascii="Calibri" w:cs="Calibri" w:eastAsia="Calibri" w:hAnsi="Calibri"/>
          <w:b/>
          <w:bCs/>
          <w:color w:val="1A2332"/>
          <w:sz w:val="36"/>
          <w:szCs w:val="36"/>
        </w:rPr>
        <w:t xml:space="preserve">2. Problem Statement</w:t>
      </w:r>
    </w:p>
    <w:p>
      <w:pPr>
        <w:pStyle w:val="Heading2"/>
        <w:spacing w:after="160" w:before="360"/>
      </w:pPr>
      <w:r>
        <w:rPr>
          <w:rFonts w:ascii="Calibri" w:cs="Calibri" w:eastAsia="Calibri" w:hAnsi="Calibri"/>
          <w:b/>
          <w:bCs/>
          <w:color w:val="7A2A38"/>
          <w:sz w:val="28"/>
          <w:szCs w:val="28"/>
        </w:rPr>
        <w:t xml:space="preserve">2.1 The state of AI adoption in community banking</w:t>
      </w:r>
    </w:p>
    <w:p>
      <w:pPr>
        <w:spacing w:after="160" w:line="320"/>
      </w:pPr>
      <w:r>
        <w:rPr>
          <w:rFonts w:ascii="Calibri" w:cs="Calibri" w:eastAsia="Calibri" w:hAnsi="Calibri"/>
          <w:sz w:val="22"/>
          <w:szCs w:val="22"/>
        </w:rPr>
        <w:t xml:space="preserve">Most U.S. community banks and credit unions are encountering generative AI through informal, low-stakes experimentation. A compliance officer pastes a regulation into ChatGPT to summarize it. A credit analyst types a question. An operations manager drafts a memo.</w:t>
      </w:r>
    </w:p>
    <w:p>
      <w:pPr>
        <w:spacing w:after="160" w:line="320"/>
      </w:pPr>
      <w:r>
        <w:rPr>
          <w:rFonts w:ascii="Calibri" w:cs="Calibri" w:eastAsia="Calibri" w:hAnsi="Calibri"/>
          <w:sz w:val="22"/>
          <w:szCs w:val="22"/>
        </w:rPr>
        <w:t xml:space="preserve">These conversations are useful, but they are also fleeting. Every chat starts from zero. Every prompt is reinvented. There is no audit trail, no consistency between staff members, no version control when regulations change, and no governance mechanism for how AI participates in regulated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24D" w:sz="4"/>
              <w:left w:val="single" w:color="B8924D" w:sz="24"/>
              <w:bottom w:val="single" w:color="B8924D" w:sz="4"/>
              <w:right w:val="single" w:color="ECE5D5" w:sz="1"/>
            </w:tcBorders>
            <w:shd w:fill="FBF8F1" w:val="clear"/>
            <w:tcMar>
              <w:top w:type="dxa" w:w="200"/>
              <w:left w:type="dxa" w:w="280"/>
              <w:bottom w:type="dxa" w:w="200"/>
              <w:right w:type="dxa" w:w="200"/>
            </w:tcMar>
          </w:tcPr>
          <w:p>
            <w:pPr>
              <w:spacing w:after="80"/>
            </w:pPr>
            <w:r>
              <w:rPr>
                <w:rFonts w:ascii="Calibri" w:cs="Calibri" w:eastAsia="Calibri" w:hAnsi="Calibri"/>
                <w:b/>
                <w:bCs/>
                <w:color w:val="B8924D"/>
                <w:spacing w:val="30"/>
                <w:sz w:val="18"/>
                <w:szCs w:val="18"/>
              </w:rPr>
              <w:t xml:space="preserve">THE GAP</w:t>
            </w:r>
          </w:p>
          <w:p>
            <w:pPr>
              <w:spacing w:after="0" w:line="300"/>
            </w:pPr>
            <w:r>
              <w:rPr>
                <w:rFonts w:ascii="Calibri" w:cs="Calibri" w:eastAsia="Calibri" w:hAnsi="Calibri"/>
                <w:i/>
                <w:iCs/>
                <w:color w:val="2D3B4D"/>
                <w:sz w:val="22"/>
                <w:szCs w:val="22"/>
              </w:rPr>
              <w:t xml:space="preserve">Institutions need a way to capture AI workflows once and reuse them with discipline — but no existing learning resource teaches this with banking-specific examples, regulatory rigor, and a hands-on testing environment.</w:t>
            </w:r>
          </w:p>
        </w:tc>
      </w:tr>
    </w:tbl>
    <w:p>
      <w:pPr>
        <w:pStyle w:val="Heading2"/>
        <w:spacing w:after="160" w:before="360"/>
      </w:pPr>
      <w:r>
        <w:rPr>
          <w:rFonts w:ascii="Calibri" w:cs="Calibri" w:eastAsia="Calibri" w:hAnsi="Calibri"/>
          <w:b/>
          <w:bCs/>
          <w:color w:val="7A2A38"/>
          <w:sz w:val="28"/>
          <w:szCs w:val="28"/>
        </w:rPr>
        <w:t xml:space="preserve">2.2 What's broken with current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2332" w:sz="1"/>
              <w:left w:val="single" w:color="1A2332" w:sz="1"/>
              <w:bottom w:val="single" w:color="1A2332" w:sz="1"/>
              <w:right w:val="single" w:color="1A2332" w:sz="1"/>
            </w:tcBorders>
            <w:shd w:fill="1A2332" w:val="clear"/>
            <w:tcMar>
              <w:top w:type="dxa" w:w="120"/>
              <w:left w:type="dxa" w:w="140"/>
              <w:bottom w:type="dxa" w:w="120"/>
              <w:right w:type="dxa" w:w="140"/>
            </w:tcMar>
          </w:tcPr>
          <w:p>
            <w:r>
              <w:rPr>
                <w:rFonts w:ascii="Calibri" w:cs="Calibri" w:eastAsia="Calibri" w:hAnsi="Calibri"/>
                <w:b/>
                <w:bCs/>
                <w:color w:val="FFFFFF"/>
                <w:spacing w:val="20"/>
                <w:sz w:val="18"/>
                <w:szCs w:val="18"/>
              </w:rPr>
              <w:t xml:space="preserve">Alternative</w:t>
            </w:r>
          </w:p>
        </w:tc>
        <w:tc>
          <w:tcPr>
            <w:tcW w:type="dxa" w:w="6160"/>
            <w:tcBorders>
              <w:top w:val="single" w:color="1A2332" w:sz="1"/>
              <w:left w:val="single" w:color="1A2332" w:sz="1"/>
              <w:bottom w:val="single" w:color="1A2332" w:sz="1"/>
              <w:right w:val="single" w:color="1A2332" w:sz="1"/>
            </w:tcBorders>
            <w:shd w:fill="1A2332" w:val="clear"/>
            <w:tcMar>
              <w:top w:type="dxa" w:w="120"/>
              <w:left w:type="dxa" w:w="140"/>
              <w:bottom w:type="dxa" w:w="120"/>
              <w:right w:type="dxa" w:w="140"/>
            </w:tcMar>
          </w:tcPr>
          <w:p>
            <w:r>
              <w:rPr>
                <w:rFonts w:ascii="Calibri" w:cs="Calibri" w:eastAsia="Calibri" w:hAnsi="Calibri"/>
                <w:b/>
                <w:bCs/>
                <w:color w:val="FFFFFF"/>
                <w:spacing w:val="20"/>
                <w:sz w:val="18"/>
                <w:szCs w:val="18"/>
              </w:rPr>
              <w:t xml:space="preserve">Limitation</w:t>
            </w:r>
          </w:p>
        </w:tc>
      </w:tr>
      <w:tr>
        <w:tc>
          <w:tcPr>
            <w:tcW w:type="dxa" w:w="32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Generic AI courses (LinkedIn Learning, Coursera)</w:t>
            </w:r>
          </w:p>
        </w:tc>
        <w:tc>
          <w:tcPr>
            <w:tcW w:type="dxa" w:w="616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Treat AI as a personal productivity tool. No institutional framing. No regulatory awareness. No banking-specific examples.</w:t>
            </w:r>
          </w:p>
        </w:tc>
      </w:tr>
      <w:tr>
        <w:tc>
          <w:tcPr>
            <w:tcW w:type="dxa" w:w="32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Prompt libraries (PromptBase, GitHub repos)</w:t>
            </w:r>
          </w:p>
        </w:tc>
        <w:tc>
          <w:tcPr>
            <w:tcW w:type="dxa" w:w="616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Disconnected one-off prompts. No version control, no governance, no testing methodology.</w:t>
            </w:r>
          </w:p>
        </w:tc>
      </w:tr>
      <w:tr>
        <w:tc>
          <w:tcPr>
            <w:tcW w:type="dxa" w:w="32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Anthropic's developer documentation</w:t>
            </w:r>
          </w:p>
        </w:tc>
        <w:tc>
          <w:tcPr>
            <w:tcW w:type="dxa" w:w="616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Aimed at engineers building applications, not at compliance officers, lenders, and operations managers.</w:t>
            </w:r>
          </w:p>
        </w:tc>
      </w:tr>
      <w:tr>
        <w:tc>
          <w:tcPr>
            <w:tcW w:type="dxa" w:w="32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Internal trial-and-error</w:t>
            </w:r>
          </w:p>
        </w:tc>
        <w:tc>
          <w:tcPr>
            <w:tcW w:type="dxa" w:w="616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Each institution rediscovers the same patterns at significant time cost. Best practices stay siloed.</w:t>
            </w:r>
          </w:p>
        </w:tc>
      </w:tr>
    </w:tbl>
    <w:p>
      <w:pPr>
        <w:pStyle w:val="Heading2"/>
        <w:spacing w:after="160" w:before="360"/>
      </w:pPr>
      <w:r>
        <w:rPr>
          <w:rFonts w:ascii="Calibri" w:cs="Calibri" w:eastAsia="Calibri" w:hAnsi="Calibri"/>
          <w:b/>
          <w:bCs/>
          <w:color w:val="7A2A38"/>
          <w:sz w:val="28"/>
          <w:szCs w:val="28"/>
        </w:rPr>
        <w:t xml:space="preserve">2.3 Why the playground model</w:t>
      </w:r>
    </w:p>
    <w:p>
      <w:pPr>
        <w:spacing w:after="160" w:line="320"/>
      </w:pPr>
      <w:r>
        <w:rPr>
          <w:rFonts w:ascii="Calibri" w:cs="Calibri" w:eastAsia="Calibri" w:hAnsi="Calibri"/>
          <w:sz w:val="22"/>
          <w:szCs w:val="22"/>
        </w:rPr>
        <w:t xml:space="preserve">OpenAI's Playground and Cookbook proved a teaching pattern: show the deliverable, let the user manipulate the input, expose the underlying instruction. The Banking AI Playground adapts this pattern with three banking-specific extensions:</w:t>
      </w:r>
    </w:p>
    <w:p>
      <w:pPr>
        <w:pStyle w:val="ListParagraph"/>
        <w:numPr>
          <w:ilvl w:val="0"/>
          <w:numId w:val="3"/>
        </w:numPr>
        <w:spacing w:after="80" w:line="300"/>
      </w:pPr>
      <w:r>
        <w:rPr>
          <w:rFonts w:ascii="Calibri" w:cs="Calibri" w:eastAsia="Calibri" w:hAnsi="Calibri"/>
          <w:sz w:val="22"/>
          <w:szCs w:val="22"/>
        </w:rPr>
        <w:t xml:space="preserve">Pre-loaded fabricated scenarios. Each skill ships with realistic banking scenarios (fake names, fake dollar amounts, real regulatory citations). Click and run to see the deliverable in seconds, not after answering five clarifying questions.</w:t>
      </w:r>
    </w:p>
    <w:p>
      <w:pPr>
        <w:pStyle w:val="ListParagraph"/>
        <w:numPr>
          <w:ilvl w:val="0"/>
          <w:numId w:val="3"/>
        </w:numPr>
        <w:spacing w:after="80" w:line="300"/>
      </w:pPr>
      <w:r>
        <w:rPr>
          <w:rFonts w:ascii="Calibri" w:cs="Calibri" w:eastAsia="Calibri" w:hAnsi="Calibri"/>
          <w:sz w:val="22"/>
          <w:szCs w:val="22"/>
        </w:rPr>
        <w:t xml:space="preserve">Multi-turn conversation. Users can refine, push back, ask follow-ups. Skills support working sessions, not one-shot output.</w:t>
      </w:r>
    </w:p>
    <w:p>
      <w:pPr>
        <w:pStyle w:val="ListParagraph"/>
        <w:numPr>
          <w:ilvl w:val="0"/>
          <w:numId w:val="3"/>
        </w:numPr>
        <w:spacing w:after="80" w:line="300"/>
      </w:pPr>
      <w:r>
        <w:rPr>
          <w:rFonts w:ascii="Calibri" w:cs="Calibri" w:eastAsia="Calibri" w:hAnsi="Calibri"/>
          <w:sz w:val="22"/>
          <w:szCs w:val="22"/>
        </w:rPr>
        <w:t xml:space="preserve">Toolbox persistence. Tested skills save to a personal library. Each is exportable as Markdown for institutional GitHub repositories.</w:t>
      </w:r>
    </w:p>
    <w:p>
      <w:pPr>
        <w:pStyle w:val="Heading1"/>
        <w:pageBreakBefore/>
        <w:spacing w:after="240" w:before="480"/>
      </w:pPr>
      <w:r>
        <w:rPr>
          <w:rFonts w:ascii="Calibri" w:cs="Calibri" w:eastAsia="Calibri" w:hAnsi="Calibri"/>
          <w:b/>
          <w:bCs/>
          <w:color w:val="1A2332"/>
          <w:sz w:val="36"/>
          <w:szCs w:val="36"/>
        </w:rPr>
        <w:t xml:space="preserve">3. Goals &amp; Success Metrics</w:t>
      </w:r>
    </w:p>
    <w:p>
      <w:pPr>
        <w:pStyle w:val="Heading2"/>
        <w:spacing w:after="160" w:before="360"/>
      </w:pPr>
      <w:r>
        <w:rPr>
          <w:rFonts w:ascii="Calibri" w:cs="Calibri" w:eastAsia="Calibri" w:hAnsi="Calibri"/>
          <w:b/>
          <w:bCs/>
          <w:color w:val="7A2A38"/>
          <w:sz w:val="28"/>
          <w:szCs w:val="28"/>
        </w:rPr>
        <w:t xml:space="preserve">3.1 Goals</w:t>
      </w:r>
    </w:p>
    <w:p>
      <w:pPr>
        <w:pStyle w:val="Heading3"/>
        <w:spacing w:after="120" w:before="280"/>
      </w:pPr>
      <w:r>
        <w:rPr>
          <w:rFonts w:ascii="Calibri" w:cs="Calibri" w:eastAsia="Calibri" w:hAnsi="Calibri"/>
          <w:b/>
          <w:bCs/>
          <w:color w:val="1A2332"/>
          <w:sz w:val="24"/>
          <w:szCs w:val="24"/>
        </w:rPr>
        <w:t xml:space="preserve">Product goals</w:t>
      </w:r>
    </w:p>
    <w:p>
      <w:pPr>
        <w:pStyle w:val="ListParagraph"/>
        <w:numPr>
          <w:ilvl w:val="0"/>
          <w:numId w:val="2"/>
        </w:numPr>
        <w:spacing w:after="80" w:line="300"/>
      </w:pPr>
      <w:r>
        <w:rPr>
          <w:rFonts w:ascii="Calibri" w:cs="Calibri" w:eastAsia="Calibri" w:hAnsi="Calibri"/>
          <w:sz w:val="22"/>
          <w:szCs w:val="22"/>
        </w:rPr>
        <w:t xml:space="preserve">Make skill-building feel approachable for non-technical banking professionals.</w:t>
      </w:r>
    </w:p>
    <w:p>
      <w:pPr>
        <w:pStyle w:val="ListParagraph"/>
        <w:numPr>
          <w:ilvl w:val="0"/>
          <w:numId w:val="2"/>
        </w:numPr>
        <w:spacing w:after="80" w:line="300"/>
      </w:pPr>
      <w:r>
        <w:rPr>
          <w:rFonts w:ascii="Calibri" w:cs="Calibri" w:eastAsia="Calibri" w:hAnsi="Calibri"/>
          <w:sz w:val="22"/>
          <w:szCs w:val="22"/>
        </w:rPr>
        <w:t xml:space="preserve">Maintain regulatory rigor consistent with how compliance teams already work — citation discipline, audit trails, escalation triggers, role-based ownership.</w:t>
      </w:r>
    </w:p>
    <w:p>
      <w:pPr>
        <w:pStyle w:val="ListParagraph"/>
        <w:numPr>
          <w:ilvl w:val="0"/>
          <w:numId w:val="2"/>
        </w:numPr>
        <w:spacing w:after="80" w:line="300"/>
      </w:pPr>
      <w:r>
        <w:rPr>
          <w:rFonts w:ascii="Calibri" w:cs="Calibri" w:eastAsia="Calibri" w:hAnsi="Calibri"/>
          <w:sz w:val="22"/>
          <w:szCs w:val="22"/>
        </w:rPr>
        <w:t xml:space="preserve">Deliver a tool that feels embedded in the AIBI brand, not a generic SaaS bolt-on.</w:t>
      </w:r>
    </w:p>
    <w:p>
      <w:pPr>
        <w:pStyle w:val="ListParagraph"/>
        <w:numPr>
          <w:ilvl w:val="0"/>
          <w:numId w:val="2"/>
        </w:numPr>
        <w:spacing w:after="80" w:line="300"/>
      </w:pPr>
      <w:r>
        <w:rPr>
          <w:rFonts w:ascii="Calibri" w:cs="Calibri" w:eastAsia="Calibri" w:hAnsi="Calibri"/>
          <w:sz w:val="22"/>
          <w:szCs w:val="22"/>
        </w:rPr>
        <w:t xml:space="preserve">Architect for durability so the same patterns extend to future Toolbox modules (Prompt Builder, Skill Eval, Playbook Library).</w:t>
      </w:r>
    </w:p>
    <w:p>
      <w:pPr>
        <w:pStyle w:val="Heading3"/>
        <w:spacing w:after="120" w:before="280"/>
      </w:pPr>
      <w:r>
        <w:rPr>
          <w:rFonts w:ascii="Calibri" w:cs="Calibri" w:eastAsia="Calibri" w:hAnsi="Calibri"/>
          <w:b/>
          <w:bCs/>
          <w:color w:val="1A2332"/>
          <w:sz w:val="24"/>
          <w:szCs w:val="24"/>
        </w:rPr>
        <w:t xml:space="preserve">User goals</w:t>
      </w:r>
    </w:p>
    <w:p>
      <w:pPr>
        <w:pStyle w:val="ListParagraph"/>
        <w:numPr>
          <w:ilvl w:val="0"/>
          <w:numId w:val="2"/>
        </w:numPr>
        <w:spacing w:after="80" w:line="300"/>
      </w:pPr>
      <w:r>
        <w:rPr>
          <w:rFonts w:ascii="Calibri" w:cs="Calibri" w:eastAsia="Calibri" w:hAnsi="Calibri"/>
          <w:sz w:val="22"/>
          <w:szCs w:val="22"/>
        </w:rPr>
        <w:t xml:space="preserve">Banking professionals leave with a tested, exportable skill they can take back to their institution.</w:t>
      </w:r>
    </w:p>
    <w:p>
      <w:pPr>
        <w:pStyle w:val="ListParagraph"/>
        <w:numPr>
          <w:ilvl w:val="0"/>
          <w:numId w:val="2"/>
        </w:numPr>
        <w:spacing w:after="80" w:line="300"/>
      </w:pPr>
      <w:r>
        <w:rPr>
          <w:rFonts w:ascii="Calibri" w:cs="Calibri" w:eastAsia="Calibri" w:hAnsi="Calibri"/>
          <w:sz w:val="22"/>
          <w:szCs w:val="22"/>
        </w:rPr>
        <w:t xml:space="preserve">Users understand why a skill is structured this way — purpose, clarifying questions, workflow, output, guardrails — and can apply that template to their own recurring work.</w:t>
      </w:r>
    </w:p>
    <w:p>
      <w:pPr>
        <w:pStyle w:val="ListParagraph"/>
        <w:numPr>
          <w:ilvl w:val="0"/>
          <w:numId w:val="2"/>
        </w:numPr>
        <w:spacing w:after="80" w:line="300"/>
      </w:pPr>
      <w:r>
        <w:rPr>
          <w:rFonts w:ascii="Calibri" w:cs="Calibri" w:eastAsia="Calibri" w:hAnsi="Calibri"/>
          <w:sz w:val="22"/>
          <w:szCs w:val="22"/>
        </w:rPr>
        <w:t xml:space="preserve">Compliance officers feel confident the AI methodology being taught is consistent with regulatory expectations.</w:t>
      </w:r>
    </w:p>
    <w:p>
      <w:pPr>
        <w:pStyle w:val="Heading3"/>
        <w:spacing w:after="120" w:before="280"/>
      </w:pPr>
      <w:r>
        <w:rPr>
          <w:rFonts w:ascii="Calibri" w:cs="Calibri" w:eastAsia="Calibri" w:hAnsi="Calibri"/>
          <w:b/>
          <w:bCs/>
          <w:color w:val="1A2332"/>
          <w:sz w:val="24"/>
          <w:szCs w:val="24"/>
        </w:rPr>
        <w:t xml:space="preserve">Business goals</w:t>
      </w:r>
    </w:p>
    <w:p>
      <w:pPr>
        <w:pStyle w:val="ListParagraph"/>
        <w:numPr>
          <w:ilvl w:val="0"/>
          <w:numId w:val="2"/>
        </w:numPr>
        <w:spacing w:after="80" w:line="300"/>
      </w:pPr>
      <w:r>
        <w:rPr>
          <w:rFonts w:ascii="Calibri" w:cs="Calibri" w:eastAsia="Calibri" w:hAnsi="Calibri"/>
          <w:sz w:val="22"/>
          <w:szCs w:val="22"/>
        </w:rPr>
        <w:t xml:space="preserve">Differentiate AIBI's premium tier offering.</w:t>
      </w:r>
    </w:p>
    <w:p>
      <w:pPr>
        <w:pStyle w:val="ListParagraph"/>
        <w:numPr>
          <w:ilvl w:val="0"/>
          <w:numId w:val="2"/>
        </w:numPr>
        <w:spacing w:after="80" w:line="300"/>
      </w:pPr>
      <w:r>
        <w:rPr>
          <w:rFonts w:ascii="Calibri" w:cs="Calibri" w:eastAsia="Calibri" w:hAnsi="Calibri"/>
          <w:sz w:val="22"/>
          <w:szCs w:val="22"/>
        </w:rPr>
        <w:t xml:space="preserve">Increase time-on-platform for active learners (target: 25+ minutes per session in the module).</w:t>
      </w:r>
    </w:p>
    <w:p>
      <w:pPr>
        <w:pStyle w:val="ListParagraph"/>
        <w:numPr>
          <w:ilvl w:val="0"/>
          <w:numId w:val="2"/>
        </w:numPr>
        <w:spacing w:after="80" w:line="300"/>
      </w:pPr>
      <w:r>
        <w:rPr>
          <w:rFonts w:ascii="Calibri" w:cs="Calibri" w:eastAsia="Calibri" w:hAnsi="Calibri"/>
          <w:sz w:val="22"/>
          <w:szCs w:val="22"/>
        </w:rPr>
        <w:t xml:space="preserve">Lay groundwork for institution-level licensing (multi-seat deployments).</w:t>
      </w:r>
    </w:p>
    <w:p>
      <w:pPr>
        <w:pStyle w:val="ListParagraph"/>
        <w:numPr>
          <w:ilvl w:val="0"/>
          <w:numId w:val="2"/>
        </w:numPr>
        <w:spacing w:after="80" w:line="300"/>
      </w:pPr>
      <w:r>
        <w:rPr>
          <w:rFonts w:ascii="Calibri" w:cs="Calibri" w:eastAsia="Calibri" w:hAnsi="Calibri"/>
          <w:sz w:val="22"/>
          <w:szCs w:val="22"/>
        </w:rPr>
        <w:t xml:space="preserve">Generate downloadable artifacts that travel with the user back to their institution, expanding AIBI's brand reach.</w:t>
      </w:r>
    </w:p>
    <w:p>
      <w:pPr>
        <w:pStyle w:val="Heading2"/>
        <w:spacing w:after="160" w:before="360"/>
      </w:pPr>
      <w:r>
        <w:rPr>
          <w:rFonts w:ascii="Calibri" w:cs="Calibri" w:eastAsia="Calibri" w:hAnsi="Calibri"/>
          <w:b/>
          <w:bCs/>
          <w:color w:val="7A2A38"/>
          <w:sz w:val="28"/>
          <w:szCs w:val="28"/>
        </w:rPr>
        <w:t xml:space="preserve">3.2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1A2332" w:sz="1"/>
              <w:left w:val="single" w:color="1A2332" w:sz="1"/>
              <w:bottom w:val="single" w:color="1A2332" w:sz="1"/>
              <w:right w:val="single" w:color="1A2332" w:sz="1"/>
            </w:tcBorders>
            <w:shd w:fill="1A2332" w:val="clear"/>
            <w:tcMar>
              <w:top w:type="dxa" w:w="120"/>
              <w:left w:type="dxa" w:w="140"/>
              <w:bottom w:type="dxa" w:w="120"/>
              <w:right w:type="dxa" w:w="140"/>
            </w:tcMar>
          </w:tcPr>
          <w:p>
            <w:r>
              <w:rPr>
                <w:rFonts w:ascii="Calibri" w:cs="Calibri" w:eastAsia="Calibri" w:hAnsi="Calibri"/>
                <w:b/>
                <w:bCs/>
                <w:color w:val="FFFFFF"/>
                <w:spacing w:val="20"/>
                <w:sz w:val="18"/>
                <w:szCs w:val="18"/>
              </w:rPr>
              <w:t xml:space="preserve">Metric</w:t>
            </w:r>
          </w:p>
        </w:tc>
        <w:tc>
          <w:tcPr>
            <w:tcW w:type="dxa" w:w="1600"/>
            <w:tcBorders>
              <w:top w:val="single" w:color="1A2332" w:sz="1"/>
              <w:left w:val="single" w:color="1A2332" w:sz="1"/>
              <w:bottom w:val="single" w:color="1A2332" w:sz="1"/>
              <w:right w:val="single" w:color="1A2332" w:sz="1"/>
            </w:tcBorders>
            <w:shd w:fill="1A2332" w:val="clear"/>
            <w:tcMar>
              <w:top w:type="dxa" w:w="120"/>
              <w:left w:type="dxa" w:w="140"/>
              <w:bottom w:type="dxa" w:w="120"/>
              <w:right w:type="dxa" w:w="140"/>
            </w:tcMar>
          </w:tcPr>
          <w:p>
            <w:r>
              <w:rPr>
                <w:rFonts w:ascii="Calibri" w:cs="Calibri" w:eastAsia="Calibri" w:hAnsi="Calibri"/>
                <w:b/>
                <w:bCs/>
                <w:color w:val="FFFFFF"/>
                <w:spacing w:val="20"/>
                <w:sz w:val="18"/>
                <w:szCs w:val="18"/>
              </w:rPr>
              <w:t xml:space="preserve">Target</w:t>
            </w:r>
          </w:p>
        </w:tc>
        <w:tc>
          <w:tcPr>
            <w:tcW w:type="dxa" w:w="5360"/>
            <w:tcBorders>
              <w:top w:val="single" w:color="1A2332" w:sz="1"/>
              <w:left w:val="single" w:color="1A2332" w:sz="1"/>
              <w:bottom w:val="single" w:color="1A2332" w:sz="1"/>
              <w:right w:val="single" w:color="1A2332" w:sz="1"/>
            </w:tcBorders>
            <w:shd w:fill="1A2332" w:val="clear"/>
            <w:tcMar>
              <w:top w:type="dxa" w:w="120"/>
              <w:left w:type="dxa" w:w="140"/>
              <w:bottom w:type="dxa" w:w="120"/>
              <w:right w:type="dxa" w:w="140"/>
            </w:tcMar>
          </w:tcPr>
          <w:p>
            <w:r>
              <w:rPr>
                <w:rFonts w:ascii="Calibri" w:cs="Calibri" w:eastAsia="Calibri" w:hAnsi="Calibri"/>
                <w:b/>
                <w:bCs/>
                <w:color w:val="FFFFFF"/>
                <w:spacing w:val="20"/>
                <w:sz w:val="18"/>
                <w:szCs w:val="18"/>
              </w:rPr>
              <w:t xml:space="preserve">Definition</w:t>
            </w:r>
          </w:p>
        </w:tc>
      </w:tr>
      <w:tr>
        <w:tc>
          <w:tcPr>
            <w:tcW w:type="dxa" w:w="24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Activation rate</w:t>
            </w:r>
          </w:p>
        </w:tc>
        <w:tc>
          <w:tcPr>
            <w:tcW w:type="dxa" w:w="16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 60% of premium users</w:t>
            </w:r>
          </w:p>
        </w:tc>
        <w:tc>
          <w:tcPr>
            <w:tcW w:type="dxa" w:w="536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Reaches the Playground at least once</w:t>
            </w:r>
          </w:p>
        </w:tc>
      </w:tr>
      <w:tr>
        <w:tc>
          <w:tcPr>
            <w:tcW w:type="dxa" w:w="24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Skill creation rate</w:t>
            </w:r>
          </w:p>
        </w:tc>
        <w:tc>
          <w:tcPr>
            <w:tcW w:type="dxa" w:w="16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 35% of activated users</w:t>
            </w:r>
          </w:p>
        </w:tc>
        <w:tc>
          <w:tcPr>
            <w:tcW w:type="dxa" w:w="536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Saves at least one skill to Toolbox</w:t>
            </w:r>
          </w:p>
        </w:tc>
      </w:tr>
      <w:tr>
        <w:tc>
          <w:tcPr>
            <w:tcW w:type="dxa" w:w="24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Test-to-save conversion</w:t>
            </w:r>
          </w:p>
        </w:tc>
        <w:tc>
          <w:tcPr>
            <w:tcW w:type="dxa" w:w="16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 50%</w:t>
            </w:r>
          </w:p>
        </w:tc>
        <w:tc>
          <w:tcPr>
            <w:tcW w:type="dxa" w:w="536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Of users who run a skill, % who save it</w:t>
            </w:r>
          </w:p>
        </w:tc>
      </w:tr>
      <w:tr>
        <w:tc>
          <w:tcPr>
            <w:tcW w:type="dxa" w:w="24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Multi-skill rate</w:t>
            </w:r>
          </w:p>
        </w:tc>
        <w:tc>
          <w:tcPr>
            <w:tcW w:type="dxa" w:w="16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 20% of savers</w:t>
            </w:r>
          </w:p>
        </w:tc>
        <w:tc>
          <w:tcPr>
            <w:tcW w:type="dxa" w:w="536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Saves 3+ skills (indicates pattern adoption)</w:t>
            </w:r>
          </w:p>
        </w:tc>
      </w:tr>
      <w:tr>
        <w:tc>
          <w:tcPr>
            <w:tcW w:type="dxa" w:w="24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Module completion</w:t>
            </w:r>
          </w:p>
        </w:tc>
        <w:tc>
          <w:tcPr>
            <w:tcW w:type="dxa" w:w="16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 30%</w:t>
            </w:r>
          </w:p>
        </w:tc>
        <w:tc>
          <w:tcPr>
            <w:tcW w:type="dxa" w:w="536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Visits all five stages in a session</w:t>
            </w:r>
          </w:p>
        </w:tc>
      </w:tr>
      <w:tr>
        <w:tc>
          <w:tcPr>
            <w:tcW w:type="dxa" w:w="24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Time on platform</w:t>
            </w:r>
          </w:p>
        </w:tc>
        <w:tc>
          <w:tcPr>
            <w:tcW w:type="dxa" w:w="16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25+ minutes</w:t>
            </w:r>
          </w:p>
        </w:tc>
        <w:tc>
          <w:tcPr>
            <w:tcW w:type="dxa" w:w="536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Average session length</w:t>
            </w:r>
          </w:p>
        </w:tc>
      </w:tr>
      <w:tr>
        <w:tc>
          <w:tcPr>
            <w:tcW w:type="dxa" w:w="24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Downloads / exports</w:t>
            </w:r>
          </w:p>
        </w:tc>
        <w:tc>
          <w:tcPr>
            <w:tcW w:type="dxa" w:w="16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 50% of saves</w:t>
            </w:r>
          </w:p>
        </w:tc>
        <w:tc>
          <w:tcPr>
            <w:tcW w:type="dxa" w:w="536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Skill .md downloaded or copied</w:t>
            </w:r>
          </w:p>
        </w:tc>
      </w:tr>
      <w:tr>
        <w:tc>
          <w:tcPr>
            <w:tcW w:type="dxa" w:w="24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Return rate</w:t>
            </w:r>
          </w:p>
        </w:tc>
        <w:tc>
          <w:tcPr>
            <w:tcW w:type="dxa" w:w="16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 40% within 30 days</w:t>
            </w:r>
          </w:p>
        </w:tc>
        <w:tc>
          <w:tcPr>
            <w:tcW w:type="dxa" w:w="536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User returns to Toolbox after first save</w:t>
            </w:r>
          </w:p>
        </w:tc>
      </w:tr>
    </w:tbl>
    <w:p>
      <w:pPr>
        <w:pStyle w:val="Heading2"/>
        <w:spacing w:after="160" w:before="360"/>
      </w:pPr>
      <w:r>
        <w:rPr>
          <w:rFonts w:ascii="Calibri" w:cs="Calibri" w:eastAsia="Calibri" w:hAnsi="Calibri"/>
          <w:b/>
          <w:bCs/>
          <w:color w:val="7A2A38"/>
          <w:sz w:val="28"/>
          <w:szCs w:val="28"/>
        </w:rPr>
        <w:t xml:space="preserve">3.3 Anti-goals</w:t>
      </w:r>
    </w:p>
    <w:p>
      <w:pPr>
        <w:spacing w:after="160" w:line="320"/>
      </w:pPr>
      <w:r>
        <w:rPr>
          <w:rFonts w:ascii="Calibri" w:cs="Calibri" w:eastAsia="Calibri" w:hAnsi="Calibri"/>
          <w:sz w:val="22"/>
          <w:szCs w:val="22"/>
        </w:rPr>
        <w:t xml:space="preserve">To preserve the module's focus, the following are explicitly out of scope for v1:</w:t>
      </w:r>
    </w:p>
    <w:p>
      <w:pPr>
        <w:pStyle w:val="ListParagraph"/>
        <w:numPr>
          <w:ilvl w:val="0"/>
          <w:numId w:val="2"/>
        </w:numPr>
        <w:spacing w:after="80" w:line="300"/>
      </w:pPr>
      <w:r>
        <w:rPr>
          <w:rFonts w:ascii="Calibri" w:cs="Calibri" w:eastAsia="Calibri" w:hAnsi="Calibri"/>
          <w:sz w:val="22"/>
          <w:szCs w:val="22"/>
        </w:rPr>
        <w:t xml:space="preserve">Replacing Anthropic's developer documentation. We teach institutional methodology; we don't teach API engineering.</w:t>
      </w:r>
    </w:p>
    <w:p>
      <w:pPr>
        <w:pStyle w:val="ListParagraph"/>
        <w:numPr>
          <w:ilvl w:val="0"/>
          <w:numId w:val="2"/>
        </w:numPr>
        <w:spacing w:after="80" w:line="300"/>
      </w:pPr>
      <w:r>
        <w:rPr>
          <w:rFonts w:ascii="Calibri" w:cs="Calibri" w:eastAsia="Calibri" w:hAnsi="Calibri"/>
          <w:sz w:val="22"/>
          <w:szCs w:val="22"/>
        </w:rPr>
        <w:t xml:space="preserve">Real-time deployment to production AI environments. Skills export to .md files; deployment is the institution's responsibility.</w:t>
      </w:r>
    </w:p>
    <w:p>
      <w:pPr>
        <w:pStyle w:val="ListParagraph"/>
        <w:numPr>
          <w:ilvl w:val="0"/>
          <w:numId w:val="2"/>
        </w:numPr>
        <w:spacing w:after="80" w:line="300"/>
      </w:pPr>
      <w:r>
        <w:rPr>
          <w:rFonts w:ascii="Calibri" w:cs="Calibri" w:eastAsia="Calibri" w:hAnsi="Calibri"/>
          <w:sz w:val="22"/>
          <w:szCs w:val="22"/>
        </w:rPr>
        <w:t xml:space="preserve">Multi-user collaboration on skills. v1 is single-user; team workflows are a v2 consideration.</w:t>
      </w:r>
    </w:p>
    <w:p>
      <w:pPr>
        <w:pStyle w:val="ListParagraph"/>
        <w:numPr>
          <w:ilvl w:val="0"/>
          <w:numId w:val="2"/>
        </w:numPr>
        <w:spacing w:after="80" w:line="300"/>
      </w:pPr>
      <w:r>
        <w:rPr>
          <w:rFonts w:ascii="Calibri" w:cs="Calibri" w:eastAsia="Calibri" w:hAnsi="Calibri"/>
          <w:sz w:val="22"/>
          <w:szCs w:val="22"/>
        </w:rPr>
        <w:t xml:space="preserve">Full skill performance evaluation suites with quantitative benchmarks. The Playground demonstrates skill behavior; rigorous evals are deferred to a future Skill Eval module.</w:t>
      </w:r>
    </w:p>
    <w:p>
      <w:pPr>
        <w:pStyle w:val="Heading1"/>
        <w:pageBreakBefore/>
        <w:spacing w:after="240" w:before="480"/>
      </w:pPr>
      <w:r>
        <w:rPr>
          <w:rFonts w:ascii="Calibri" w:cs="Calibri" w:eastAsia="Calibri" w:hAnsi="Calibri"/>
          <w:b/>
          <w:bCs/>
          <w:color w:val="1A2332"/>
          <w:sz w:val="36"/>
          <w:szCs w:val="36"/>
        </w:rPr>
        <w:t xml:space="preserve">4. Users &amp; Personas</w:t>
      </w:r>
    </w:p>
    <w:p>
      <w:pPr>
        <w:spacing w:after="160" w:line="320"/>
      </w:pPr>
      <w:r>
        <w:rPr>
          <w:rFonts w:ascii="Calibri" w:cs="Calibri" w:eastAsia="Calibri" w:hAnsi="Calibri"/>
          <w:sz w:val="22"/>
          <w:szCs w:val="22"/>
        </w:rPr>
        <w:t xml:space="preserve">The module addresses three primary personas, all banking and credit union professionals at U.S. community institutions ($100M – $5B in assets).</w:t>
      </w:r>
    </w:p>
    <w:p>
      <w:pPr>
        <w:pStyle w:val="Heading2"/>
        <w:spacing w:after="160" w:before="360"/>
      </w:pPr>
      <w:r>
        <w:rPr>
          <w:rFonts w:ascii="Calibri" w:cs="Calibri" w:eastAsia="Calibri" w:hAnsi="Calibri"/>
          <w:b/>
          <w:bCs/>
          <w:color w:val="7A2A38"/>
          <w:sz w:val="28"/>
          <w:szCs w:val="28"/>
        </w:rPr>
        <w:t xml:space="preserve">4.1 Primary: The Compliance Champion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CE5D5" w:sz="1"/>
              <w:left w:val="none" w:color="FFFFFF" w:sz="0"/>
              <w:bottom w:val="single" w:color="ECE5D5" w:sz="1"/>
              <w:right w:val="none" w:color="FFFFFF" w:sz="0"/>
            </w:tcBorders>
            <w:tcMar>
              <w:top w:type="dxa" w:w="100"/>
              <w:left w:type="dxa" w:w="0"/>
              <w:bottom w:type="dxa" w:w="100"/>
              <w:right w:type="dxa" w:w="120"/>
            </w:tcMar>
          </w:tcPr>
          <w:p>
            <w:r>
              <w:rPr>
                <w:rFonts w:ascii="Calibri" w:cs="Calibri" w:eastAsia="Calibri" w:hAnsi="Calibri"/>
                <w:b/>
                <w:bCs/>
                <w:color w:val="1A2332"/>
                <w:sz w:val="22"/>
                <w:szCs w:val="22"/>
              </w:rPr>
              <w:t xml:space="preserve">Role</w:t>
            </w:r>
          </w:p>
        </w:tc>
        <w:tc>
          <w:tcPr>
            <w:tcW w:type="dxa" w:w="6760"/>
            <w:tcBorders>
              <w:top w:val="single" w:color="ECE5D5" w:sz="1"/>
              <w:left w:val="none" w:color="FFFFFF" w:sz="0"/>
              <w:bottom w:val="single" w:color="ECE5D5" w:sz="1"/>
              <w:right w:val="none" w:color="FFFFFF" w:sz="0"/>
            </w:tcBorders>
            <w:tcMar>
              <w:top w:type="dxa" w:w="100"/>
              <w:left w:type="dxa" w:w="0"/>
              <w:bottom w:type="dxa" w:w="100"/>
              <w:right w:type="dxa" w:w="0"/>
            </w:tcMar>
          </w:tcPr>
          <w:p>
            <w:r>
              <w:rPr>
                <w:rFonts w:ascii="Calibri" w:cs="Calibri" w:eastAsia="Calibri" w:hAnsi="Calibri"/>
                <w:color w:val="2D3B4D"/>
                <w:sz w:val="22"/>
                <w:szCs w:val="22"/>
              </w:rPr>
              <w:t xml:space="preserve">VP Compliance, BSA Officer, Compliance Manager</w:t>
            </w:r>
          </w:p>
        </w:tc>
      </w:tr>
      <w:tr>
        <w:tc>
          <w:tcPr>
            <w:tcW w:type="dxa" w:w="2600"/>
            <w:tcBorders>
              <w:top w:val="single" w:color="ECE5D5" w:sz="1"/>
              <w:left w:val="none" w:color="FFFFFF" w:sz="0"/>
              <w:bottom w:val="single" w:color="ECE5D5" w:sz="1"/>
              <w:right w:val="none" w:color="FFFFFF" w:sz="0"/>
            </w:tcBorders>
            <w:tcMar>
              <w:top w:type="dxa" w:w="100"/>
              <w:left w:type="dxa" w:w="0"/>
              <w:bottom w:type="dxa" w:w="100"/>
              <w:right w:type="dxa" w:w="120"/>
            </w:tcMar>
          </w:tcPr>
          <w:p>
            <w:r>
              <w:rPr>
                <w:rFonts w:ascii="Calibri" w:cs="Calibri" w:eastAsia="Calibri" w:hAnsi="Calibri"/>
                <w:b/>
                <w:bCs/>
                <w:color w:val="1A2332"/>
                <w:sz w:val="22"/>
                <w:szCs w:val="22"/>
              </w:rPr>
              <w:t xml:space="preserve">Tech comfort</w:t>
            </w:r>
          </w:p>
        </w:tc>
        <w:tc>
          <w:tcPr>
            <w:tcW w:type="dxa" w:w="6760"/>
            <w:tcBorders>
              <w:top w:val="single" w:color="ECE5D5" w:sz="1"/>
              <w:left w:val="none" w:color="FFFFFF" w:sz="0"/>
              <w:bottom w:val="single" w:color="ECE5D5" w:sz="1"/>
              <w:right w:val="none" w:color="FFFFFF" w:sz="0"/>
            </w:tcBorders>
            <w:tcMar>
              <w:top w:type="dxa" w:w="100"/>
              <w:left w:type="dxa" w:w="0"/>
              <w:bottom w:type="dxa" w:w="100"/>
              <w:right w:type="dxa" w:w="0"/>
            </w:tcMar>
          </w:tcPr>
          <w:p>
            <w:r>
              <w:rPr>
                <w:rFonts w:ascii="Calibri" w:cs="Calibri" w:eastAsia="Calibri" w:hAnsi="Calibri"/>
                <w:color w:val="2D3B4D"/>
                <w:sz w:val="22"/>
                <w:szCs w:val="22"/>
              </w:rPr>
              <w:t xml:space="preserve">Moderate. Uses Word, Excel, Power BI. Has experimented with ChatGPT.</w:t>
            </w:r>
          </w:p>
        </w:tc>
      </w:tr>
      <w:tr>
        <w:tc>
          <w:tcPr>
            <w:tcW w:type="dxa" w:w="2600"/>
            <w:tcBorders>
              <w:top w:val="single" w:color="ECE5D5" w:sz="1"/>
              <w:left w:val="none" w:color="FFFFFF" w:sz="0"/>
              <w:bottom w:val="single" w:color="ECE5D5" w:sz="1"/>
              <w:right w:val="none" w:color="FFFFFF" w:sz="0"/>
            </w:tcBorders>
            <w:tcMar>
              <w:top w:type="dxa" w:w="100"/>
              <w:left w:type="dxa" w:w="0"/>
              <w:bottom w:type="dxa" w:w="100"/>
              <w:right w:type="dxa" w:w="120"/>
            </w:tcMar>
          </w:tcPr>
          <w:p>
            <w:r>
              <w:rPr>
                <w:rFonts w:ascii="Calibri" w:cs="Calibri" w:eastAsia="Calibri" w:hAnsi="Calibri"/>
                <w:b/>
                <w:bCs/>
                <w:color w:val="1A2332"/>
                <w:sz w:val="22"/>
                <w:szCs w:val="22"/>
              </w:rPr>
              <w:t xml:space="preserve">Pain</w:t>
            </w:r>
          </w:p>
        </w:tc>
        <w:tc>
          <w:tcPr>
            <w:tcW w:type="dxa" w:w="6760"/>
            <w:tcBorders>
              <w:top w:val="single" w:color="ECE5D5" w:sz="1"/>
              <w:left w:val="none" w:color="FFFFFF" w:sz="0"/>
              <w:bottom w:val="single" w:color="ECE5D5" w:sz="1"/>
              <w:right w:val="none" w:color="FFFFFF" w:sz="0"/>
            </w:tcBorders>
            <w:tcMar>
              <w:top w:type="dxa" w:w="100"/>
              <w:left w:type="dxa" w:w="0"/>
              <w:bottom w:type="dxa" w:w="100"/>
              <w:right w:type="dxa" w:w="0"/>
            </w:tcMar>
          </w:tcPr>
          <w:p>
            <w:r>
              <w:rPr>
                <w:rFonts w:ascii="Calibri" w:cs="Calibri" w:eastAsia="Calibri" w:hAnsi="Calibri"/>
                <w:color w:val="2D3B4D"/>
                <w:sz w:val="22"/>
                <w:szCs w:val="22"/>
              </w:rPr>
              <w:t xml:space="preserve">Drowning in regulatory change tracking. Drafts SAR narratives weekly. Spends ~6 hours per quarter prepping for examiner visits.</w:t>
            </w:r>
          </w:p>
        </w:tc>
      </w:tr>
      <w:tr>
        <w:tc>
          <w:tcPr>
            <w:tcW w:type="dxa" w:w="2600"/>
            <w:tcBorders>
              <w:top w:val="single" w:color="ECE5D5" w:sz="1"/>
              <w:left w:val="none" w:color="FFFFFF" w:sz="0"/>
              <w:bottom w:val="single" w:color="ECE5D5" w:sz="1"/>
              <w:right w:val="none" w:color="FFFFFF" w:sz="0"/>
            </w:tcBorders>
            <w:tcMar>
              <w:top w:type="dxa" w:w="100"/>
              <w:left w:type="dxa" w:w="0"/>
              <w:bottom w:type="dxa" w:w="100"/>
              <w:right w:type="dxa" w:w="120"/>
            </w:tcMar>
          </w:tcPr>
          <w:p>
            <w:r>
              <w:rPr>
                <w:rFonts w:ascii="Calibri" w:cs="Calibri" w:eastAsia="Calibri" w:hAnsi="Calibri"/>
                <w:b/>
                <w:bCs/>
                <w:color w:val="1A2332"/>
                <w:sz w:val="22"/>
                <w:szCs w:val="22"/>
              </w:rPr>
              <w:t xml:space="preserve">Want</w:t>
            </w:r>
          </w:p>
        </w:tc>
        <w:tc>
          <w:tcPr>
            <w:tcW w:type="dxa" w:w="6760"/>
            <w:tcBorders>
              <w:top w:val="single" w:color="ECE5D5" w:sz="1"/>
              <w:left w:val="none" w:color="FFFFFF" w:sz="0"/>
              <w:bottom w:val="single" w:color="ECE5D5" w:sz="1"/>
              <w:right w:val="none" w:color="FFFFFF" w:sz="0"/>
            </w:tcBorders>
            <w:tcMar>
              <w:top w:type="dxa" w:w="100"/>
              <w:left w:type="dxa" w:w="0"/>
              <w:bottom w:type="dxa" w:w="100"/>
              <w:right w:type="dxa" w:w="0"/>
            </w:tcMar>
          </w:tcPr>
          <w:p>
            <w:r>
              <w:rPr>
                <w:rFonts w:ascii="Calibri" w:cs="Calibri" w:eastAsia="Calibri" w:hAnsi="Calibri"/>
                <w:color w:val="2D3B4D"/>
                <w:sz w:val="22"/>
                <w:szCs w:val="22"/>
              </w:rPr>
              <w:t xml:space="preserve">A trustworthy way to use AI without creating audit risk.</w:t>
            </w:r>
          </w:p>
        </w:tc>
      </w:tr>
      <w:tr>
        <w:tc>
          <w:tcPr>
            <w:tcW w:type="dxa" w:w="2600"/>
            <w:tcBorders>
              <w:top w:val="single" w:color="ECE5D5" w:sz="1"/>
              <w:left w:val="none" w:color="FFFFFF" w:sz="0"/>
              <w:bottom w:val="single" w:color="ECE5D5" w:sz="1"/>
              <w:right w:val="none" w:color="FFFFFF" w:sz="0"/>
            </w:tcBorders>
            <w:tcMar>
              <w:top w:type="dxa" w:w="100"/>
              <w:left w:type="dxa" w:w="0"/>
              <w:bottom w:type="dxa" w:w="100"/>
              <w:right w:type="dxa" w:w="120"/>
            </w:tcMar>
          </w:tcPr>
          <w:p>
            <w:r>
              <w:rPr>
                <w:rFonts w:ascii="Calibri" w:cs="Calibri" w:eastAsia="Calibri" w:hAnsi="Calibri"/>
                <w:b/>
                <w:bCs/>
                <w:color w:val="1A2332"/>
                <w:sz w:val="22"/>
                <w:szCs w:val="22"/>
              </w:rPr>
              <w:t xml:space="preserve">Wins when</w:t>
            </w:r>
          </w:p>
        </w:tc>
        <w:tc>
          <w:tcPr>
            <w:tcW w:type="dxa" w:w="6760"/>
            <w:tcBorders>
              <w:top w:val="single" w:color="ECE5D5" w:sz="1"/>
              <w:left w:val="none" w:color="FFFFFF" w:sz="0"/>
              <w:bottom w:val="single" w:color="ECE5D5" w:sz="1"/>
              <w:right w:val="none" w:color="FFFFFF" w:sz="0"/>
            </w:tcBorders>
            <w:tcMar>
              <w:top w:type="dxa" w:w="100"/>
              <w:left w:type="dxa" w:w="0"/>
              <w:bottom w:type="dxa" w:w="100"/>
              <w:right w:type="dxa" w:w="0"/>
            </w:tcMar>
          </w:tcPr>
          <w:p>
            <w:r>
              <w:rPr>
                <w:rFonts w:ascii="Calibri" w:cs="Calibri" w:eastAsia="Calibri" w:hAnsi="Calibri"/>
                <w:color w:val="2D3B4D"/>
                <w:sz w:val="22"/>
                <w:szCs w:val="22"/>
              </w:rPr>
              <w:t xml:space="preserve">She produces a regulator-ready exam prep summary in 20 minutes that she previously spent a full day building.</w:t>
            </w:r>
          </w:p>
        </w:tc>
      </w:tr>
    </w:tbl>
    <w:p>
      <w:pPr>
        <w:pStyle w:val="Heading2"/>
        <w:spacing w:after="160" w:before="360"/>
      </w:pPr>
      <w:r>
        <w:rPr>
          <w:rFonts w:ascii="Calibri" w:cs="Calibri" w:eastAsia="Calibri" w:hAnsi="Calibri"/>
          <w:b/>
          <w:bCs/>
          <w:color w:val="7A2A38"/>
          <w:sz w:val="28"/>
          <w:szCs w:val="28"/>
        </w:rPr>
        <w:t xml:space="preserve">4.2 Primary: The Builder Lender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CE5D5" w:sz="1"/>
              <w:left w:val="none" w:color="FFFFFF" w:sz="0"/>
              <w:bottom w:val="single" w:color="ECE5D5" w:sz="1"/>
              <w:right w:val="none" w:color="FFFFFF" w:sz="0"/>
            </w:tcBorders>
            <w:tcMar>
              <w:top w:type="dxa" w:w="100"/>
              <w:left w:type="dxa" w:w="0"/>
              <w:bottom w:type="dxa" w:w="100"/>
              <w:right w:type="dxa" w:w="120"/>
            </w:tcMar>
          </w:tcPr>
          <w:p>
            <w:r>
              <w:rPr>
                <w:rFonts w:ascii="Calibri" w:cs="Calibri" w:eastAsia="Calibri" w:hAnsi="Calibri"/>
                <w:b/>
                <w:bCs/>
                <w:color w:val="1A2332"/>
                <w:sz w:val="22"/>
                <w:szCs w:val="22"/>
              </w:rPr>
              <w:t xml:space="preserve">Role</w:t>
            </w:r>
          </w:p>
        </w:tc>
        <w:tc>
          <w:tcPr>
            <w:tcW w:type="dxa" w:w="6760"/>
            <w:tcBorders>
              <w:top w:val="single" w:color="ECE5D5" w:sz="1"/>
              <w:left w:val="none" w:color="FFFFFF" w:sz="0"/>
              <w:bottom w:val="single" w:color="ECE5D5" w:sz="1"/>
              <w:right w:val="none" w:color="FFFFFF" w:sz="0"/>
            </w:tcBorders>
            <w:tcMar>
              <w:top w:type="dxa" w:w="100"/>
              <w:left w:type="dxa" w:w="0"/>
              <w:bottom w:type="dxa" w:w="100"/>
              <w:right w:type="dxa" w:w="0"/>
            </w:tcMar>
          </w:tcPr>
          <w:p>
            <w:r>
              <w:rPr>
                <w:rFonts w:ascii="Calibri" w:cs="Calibri" w:eastAsia="Calibri" w:hAnsi="Calibri"/>
                <w:color w:val="2D3B4D"/>
                <w:sz w:val="22"/>
                <w:szCs w:val="22"/>
              </w:rPr>
              <w:t xml:space="preserve">VP Commercial Lending, Credit Analyst, Underwriter</w:t>
            </w:r>
          </w:p>
        </w:tc>
      </w:tr>
      <w:tr>
        <w:tc>
          <w:tcPr>
            <w:tcW w:type="dxa" w:w="2600"/>
            <w:tcBorders>
              <w:top w:val="single" w:color="ECE5D5" w:sz="1"/>
              <w:left w:val="none" w:color="FFFFFF" w:sz="0"/>
              <w:bottom w:val="single" w:color="ECE5D5" w:sz="1"/>
              <w:right w:val="none" w:color="FFFFFF" w:sz="0"/>
            </w:tcBorders>
            <w:tcMar>
              <w:top w:type="dxa" w:w="100"/>
              <w:left w:type="dxa" w:w="0"/>
              <w:bottom w:type="dxa" w:w="100"/>
              <w:right w:type="dxa" w:w="120"/>
            </w:tcMar>
          </w:tcPr>
          <w:p>
            <w:r>
              <w:rPr>
                <w:rFonts w:ascii="Calibri" w:cs="Calibri" w:eastAsia="Calibri" w:hAnsi="Calibri"/>
                <w:b/>
                <w:bCs/>
                <w:color w:val="1A2332"/>
                <w:sz w:val="22"/>
                <w:szCs w:val="22"/>
              </w:rPr>
              <w:t xml:space="preserve">Tech comfort</w:t>
            </w:r>
          </w:p>
        </w:tc>
        <w:tc>
          <w:tcPr>
            <w:tcW w:type="dxa" w:w="6760"/>
            <w:tcBorders>
              <w:top w:val="single" w:color="ECE5D5" w:sz="1"/>
              <w:left w:val="none" w:color="FFFFFF" w:sz="0"/>
              <w:bottom w:val="single" w:color="ECE5D5" w:sz="1"/>
              <w:right w:val="none" w:color="FFFFFF" w:sz="0"/>
            </w:tcBorders>
            <w:tcMar>
              <w:top w:type="dxa" w:w="100"/>
              <w:left w:type="dxa" w:w="0"/>
              <w:bottom w:type="dxa" w:w="100"/>
              <w:right w:type="dxa" w:w="0"/>
            </w:tcMar>
          </w:tcPr>
          <w:p>
            <w:r>
              <w:rPr>
                <w:rFonts w:ascii="Calibri" w:cs="Calibri" w:eastAsia="Calibri" w:hAnsi="Calibri"/>
                <w:color w:val="2D3B4D"/>
                <w:sz w:val="22"/>
                <w:szCs w:val="22"/>
              </w:rPr>
              <w:t xml:space="preserve">Moderate to high. Power user of LOS systems.</w:t>
            </w:r>
          </w:p>
        </w:tc>
      </w:tr>
      <w:tr>
        <w:tc>
          <w:tcPr>
            <w:tcW w:type="dxa" w:w="2600"/>
            <w:tcBorders>
              <w:top w:val="single" w:color="ECE5D5" w:sz="1"/>
              <w:left w:val="none" w:color="FFFFFF" w:sz="0"/>
              <w:bottom w:val="single" w:color="ECE5D5" w:sz="1"/>
              <w:right w:val="none" w:color="FFFFFF" w:sz="0"/>
            </w:tcBorders>
            <w:tcMar>
              <w:top w:type="dxa" w:w="100"/>
              <w:left w:type="dxa" w:w="0"/>
              <w:bottom w:type="dxa" w:w="100"/>
              <w:right w:type="dxa" w:w="120"/>
            </w:tcMar>
          </w:tcPr>
          <w:p>
            <w:r>
              <w:rPr>
                <w:rFonts w:ascii="Calibri" w:cs="Calibri" w:eastAsia="Calibri" w:hAnsi="Calibri"/>
                <w:b/>
                <w:bCs/>
                <w:color w:val="1A2332"/>
                <w:sz w:val="22"/>
                <w:szCs w:val="22"/>
              </w:rPr>
              <w:t xml:space="preserve">Pain</w:t>
            </w:r>
          </w:p>
        </w:tc>
        <w:tc>
          <w:tcPr>
            <w:tcW w:type="dxa" w:w="6760"/>
            <w:tcBorders>
              <w:top w:val="single" w:color="ECE5D5" w:sz="1"/>
              <w:left w:val="none" w:color="FFFFFF" w:sz="0"/>
              <w:bottom w:val="single" w:color="ECE5D5" w:sz="1"/>
              <w:right w:val="none" w:color="FFFFFF" w:sz="0"/>
            </w:tcBorders>
            <w:tcMar>
              <w:top w:type="dxa" w:w="100"/>
              <w:left w:type="dxa" w:w="0"/>
              <w:bottom w:type="dxa" w:w="100"/>
              <w:right w:type="dxa" w:w="0"/>
            </w:tcMar>
          </w:tcPr>
          <w:p>
            <w:r>
              <w:rPr>
                <w:rFonts w:ascii="Calibri" w:cs="Calibri" w:eastAsia="Calibri" w:hAnsi="Calibri"/>
                <w:color w:val="2D3B4D"/>
                <w:sz w:val="22"/>
                <w:szCs w:val="22"/>
              </w:rPr>
              <w:t xml:space="preserve">Each credit memo takes 4 hours. Most of that is reading boilerplate documents and reformatting analysis from a template.</w:t>
            </w:r>
          </w:p>
        </w:tc>
      </w:tr>
      <w:tr>
        <w:tc>
          <w:tcPr>
            <w:tcW w:type="dxa" w:w="2600"/>
            <w:tcBorders>
              <w:top w:val="single" w:color="ECE5D5" w:sz="1"/>
              <w:left w:val="none" w:color="FFFFFF" w:sz="0"/>
              <w:bottom w:val="single" w:color="ECE5D5" w:sz="1"/>
              <w:right w:val="none" w:color="FFFFFF" w:sz="0"/>
            </w:tcBorders>
            <w:tcMar>
              <w:top w:type="dxa" w:w="100"/>
              <w:left w:type="dxa" w:w="0"/>
              <w:bottom w:type="dxa" w:w="100"/>
              <w:right w:type="dxa" w:w="120"/>
            </w:tcMar>
          </w:tcPr>
          <w:p>
            <w:r>
              <w:rPr>
                <w:rFonts w:ascii="Calibri" w:cs="Calibri" w:eastAsia="Calibri" w:hAnsi="Calibri"/>
                <w:b/>
                <w:bCs/>
                <w:color w:val="1A2332"/>
                <w:sz w:val="22"/>
                <w:szCs w:val="22"/>
              </w:rPr>
              <w:t xml:space="preserve">Want</w:t>
            </w:r>
          </w:p>
        </w:tc>
        <w:tc>
          <w:tcPr>
            <w:tcW w:type="dxa" w:w="6760"/>
            <w:tcBorders>
              <w:top w:val="single" w:color="ECE5D5" w:sz="1"/>
              <w:left w:val="none" w:color="FFFFFF" w:sz="0"/>
              <w:bottom w:val="single" w:color="ECE5D5" w:sz="1"/>
              <w:right w:val="none" w:color="FFFFFF" w:sz="0"/>
            </w:tcBorders>
            <w:tcMar>
              <w:top w:type="dxa" w:w="100"/>
              <w:left w:type="dxa" w:w="0"/>
              <w:bottom w:type="dxa" w:w="100"/>
              <w:right w:type="dxa" w:w="0"/>
            </w:tcMar>
          </w:tcPr>
          <w:p>
            <w:r>
              <w:rPr>
                <w:rFonts w:ascii="Calibri" w:cs="Calibri" w:eastAsia="Calibri" w:hAnsi="Calibri"/>
                <w:color w:val="2D3B4D"/>
                <w:sz w:val="22"/>
                <w:szCs w:val="22"/>
              </w:rPr>
              <w:t xml:space="preserve">A skill that handles the structural work so he can focus on judgment.</w:t>
            </w:r>
          </w:p>
        </w:tc>
      </w:tr>
      <w:tr>
        <w:tc>
          <w:tcPr>
            <w:tcW w:type="dxa" w:w="2600"/>
            <w:tcBorders>
              <w:top w:val="single" w:color="ECE5D5" w:sz="1"/>
              <w:left w:val="none" w:color="FFFFFF" w:sz="0"/>
              <w:bottom w:val="single" w:color="ECE5D5" w:sz="1"/>
              <w:right w:val="none" w:color="FFFFFF" w:sz="0"/>
            </w:tcBorders>
            <w:tcMar>
              <w:top w:type="dxa" w:w="100"/>
              <w:left w:type="dxa" w:w="0"/>
              <w:bottom w:type="dxa" w:w="100"/>
              <w:right w:type="dxa" w:w="120"/>
            </w:tcMar>
          </w:tcPr>
          <w:p>
            <w:r>
              <w:rPr>
                <w:rFonts w:ascii="Calibri" w:cs="Calibri" w:eastAsia="Calibri" w:hAnsi="Calibri"/>
                <w:b/>
                <w:bCs/>
                <w:color w:val="1A2332"/>
                <w:sz w:val="22"/>
                <w:szCs w:val="22"/>
              </w:rPr>
              <w:t xml:space="preserve">Wins when</w:t>
            </w:r>
          </w:p>
        </w:tc>
        <w:tc>
          <w:tcPr>
            <w:tcW w:type="dxa" w:w="6760"/>
            <w:tcBorders>
              <w:top w:val="single" w:color="ECE5D5" w:sz="1"/>
              <w:left w:val="none" w:color="FFFFFF" w:sz="0"/>
              <w:bottom w:val="single" w:color="ECE5D5" w:sz="1"/>
              <w:right w:val="none" w:color="FFFFFF" w:sz="0"/>
            </w:tcBorders>
            <w:tcMar>
              <w:top w:type="dxa" w:w="100"/>
              <w:left w:type="dxa" w:w="0"/>
              <w:bottom w:type="dxa" w:w="100"/>
              <w:right w:type="dxa" w:w="0"/>
            </w:tcMar>
          </w:tcPr>
          <w:p>
            <w:r>
              <w:rPr>
                <w:rFonts w:ascii="Calibri" w:cs="Calibri" w:eastAsia="Calibri" w:hAnsi="Calibri"/>
                <w:color w:val="2D3B4D"/>
                <w:sz w:val="22"/>
                <w:szCs w:val="22"/>
              </w:rPr>
              <w:t xml:space="preserve">He drafts a complete credit memo with risk rating in 30 minutes that's ready for committee review.</w:t>
            </w:r>
          </w:p>
        </w:tc>
      </w:tr>
    </w:tbl>
    <w:p>
      <w:pPr>
        <w:pStyle w:val="Heading2"/>
        <w:spacing w:after="160" w:before="360"/>
      </w:pPr>
      <w:r>
        <w:rPr>
          <w:rFonts w:ascii="Calibri" w:cs="Calibri" w:eastAsia="Calibri" w:hAnsi="Calibri"/>
          <w:b/>
          <w:bCs/>
          <w:color w:val="7A2A38"/>
          <w:sz w:val="28"/>
          <w:szCs w:val="28"/>
        </w:rPr>
        <w:t xml:space="preserve">4.3 Secondary: The Operations Improver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CE5D5" w:sz="1"/>
              <w:left w:val="none" w:color="FFFFFF" w:sz="0"/>
              <w:bottom w:val="single" w:color="ECE5D5" w:sz="1"/>
              <w:right w:val="none" w:color="FFFFFF" w:sz="0"/>
            </w:tcBorders>
            <w:tcMar>
              <w:top w:type="dxa" w:w="100"/>
              <w:left w:type="dxa" w:w="0"/>
              <w:bottom w:type="dxa" w:w="100"/>
              <w:right w:type="dxa" w:w="120"/>
            </w:tcMar>
          </w:tcPr>
          <w:p>
            <w:r>
              <w:rPr>
                <w:rFonts w:ascii="Calibri" w:cs="Calibri" w:eastAsia="Calibri" w:hAnsi="Calibri"/>
                <w:b/>
                <w:bCs/>
                <w:color w:val="1A2332"/>
                <w:sz w:val="22"/>
                <w:szCs w:val="22"/>
              </w:rPr>
              <w:t xml:space="preserve">Role</w:t>
            </w:r>
          </w:p>
        </w:tc>
        <w:tc>
          <w:tcPr>
            <w:tcW w:type="dxa" w:w="6760"/>
            <w:tcBorders>
              <w:top w:val="single" w:color="ECE5D5" w:sz="1"/>
              <w:left w:val="none" w:color="FFFFFF" w:sz="0"/>
              <w:bottom w:val="single" w:color="ECE5D5" w:sz="1"/>
              <w:right w:val="none" w:color="FFFFFF" w:sz="0"/>
            </w:tcBorders>
            <w:tcMar>
              <w:top w:type="dxa" w:w="100"/>
              <w:left w:type="dxa" w:w="0"/>
              <w:bottom w:type="dxa" w:w="100"/>
              <w:right w:type="dxa" w:w="0"/>
            </w:tcMar>
          </w:tcPr>
          <w:p>
            <w:r>
              <w:rPr>
                <w:rFonts w:ascii="Calibri" w:cs="Calibri" w:eastAsia="Calibri" w:hAnsi="Calibri"/>
                <w:color w:val="2D3B4D"/>
                <w:sz w:val="22"/>
                <w:szCs w:val="22"/>
              </w:rPr>
              <w:t xml:space="preserve">Branch Manager, Member Service Manager, Operations Director</w:t>
            </w:r>
          </w:p>
        </w:tc>
      </w:tr>
      <w:tr>
        <w:tc>
          <w:tcPr>
            <w:tcW w:type="dxa" w:w="2600"/>
            <w:tcBorders>
              <w:top w:val="single" w:color="ECE5D5" w:sz="1"/>
              <w:left w:val="none" w:color="FFFFFF" w:sz="0"/>
              <w:bottom w:val="single" w:color="ECE5D5" w:sz="1"/>
              <w:right w:val="none" w:color="FFFFFF" w:sz="0"/>
            </w:tcBorders>
            <w:tcMar>
              <w:top w:type="dxa" w:w="100"/>
              <w:left w:type="dxa" w:w="0"/>
              <w:bottom w:type="dxa" w:w="100"/>
              <w:right w:type="dxa" w:w="120"/>
            </w:tcMar>
          </w:tcPr>
          <w:p>
            <w:r>
              <w:rPr>
                <w:rFonts w:ascii="Calibri" w:cs="Calibri" w:eastAsia="Calibri" w:hAnsi="Calibri"/>
                <w:b/>
                <w:bCs/>
                <w:color w:val="1A2332"/>
                <w:sz w:val="22"/>
                <w:szCs w:val="22"/>
              </w:rPr>
              <w:t xml:space="preserve">Tech comfort</w:t>
            </w:r>
          </w:p>
        </w:tc>
        <w:tc>
          <w:tcPr>
            <w:tcW w:type="dxa" w:w="6760"/>
            <w:tcBorders>
              <w:top w:val="single" w:color="ECE5D5" w:sz="1"/>
              <w:left w:val="none" w:color="FFFFFF" w:sz="0"/>
              <w:bottom w:val="single" w:color="ECE5D5" w:sz="1"/>
              <w:right w:val="none" w:color="FFFFFF" w:sz="0"/>
            </w:tcBorders>
            <w:tcMar>
              <w:top w:type="dxa" w:w="100"/>
              <w:left w:type="dxa" w:w="0"/>
              <w:bottom w:type="dxa" w:w="100"/>
              <w:right w:type="dxa" w:w="0"/>
            </w:tcMar>
          </w:tcPr>
          <w:p>
            <w:r>
              <w:rPr>
                <w:rFonts w:ascii="Calibri" w:cs="Calibri" w:eastAsia="Calibri" w:hAnsi="Calibri"/>
                <w:color w:val="2D3B4D"/>
                <w:sz w:val="22"/>
                <w:szCs w:val="22"/>
              </w:rPr>
              <w:t xml:space="preserve">Variable. May be skeptical of AI.</w:t>
            </w:r>
          </w:p>
        </w:tc>
      </w:tr>
      <w:tr>
        <w:tc>
          <w:tcPr>
            <w:tcW w:type="dxa" w:w="2600"/>
            <w:tcBorders>
              <w:top w:val="single" w:color="ECE5D5" w:sz="1"/>
              <w:left w:val="none" w:color="FFFFFF" w:sz="0"/>
              <w:bottom w:val="single" w:color="ECE5D5" w:sz="1"/>
              <w:right w:val="none" w:color="FFFFFF" w:sz="0"/>
            </w:tcBorders>
            <w:tcMar>
              <w:top w:type="dxa" w:w="100"/>
              <w:left w:type="dxa" w:w="0"/>
              <w:bottom w:type="dxa" w:w="100"/>
              <w:right w:type="dxa" w:w="120"/>
            </w:tcMar>
          </w:tcPr>
          <w:p>
            <w:r>
              <w:rPr>
                <w:rFonts w:ascii="Calibri" w:cs="Calibri" w:eastAsia="Calibri" w:hAnsi="Calibri"/>
                <w:b/>
                <w:bCs/>
                <w:color w:val="1A2332"/>
                <w:sz w:val="22"/>
                <w:szCs w:val="22"/>
              </w:rPr>
              <w:t xml:space="preserve">Pain</w:t>
            </w:r>
          </w:p>
        </w:tc>
        <w:tc>
          <w:tcPr>
            <w:tcW w:type="dxa" w:w="6760"/>
            <w:tcBorders>
              <w:top w:val="single" w:color="ECE5D5" w:sz="1"/>
              <w:left w:val="none" w:color="FFFFFF" w:sz="0"/>
              <w:bottom w:val="single" w:color="ECE5D5" w:sz="1"/>
              <w:right w:val="none" w:color="FFFFFF" w:sz="0"/>
            </w:tcBorders>
            <w:tcMar>
              <w:top w:type="dxa" w:w="100"/>
              <w:left w:type="dxa" w:w="0"/>
              <w:bottom w:type="dxa" w:w="100"/>
              <w:right w:type="dxa" w:w="0"/>
            </w:tcMar>
          </w:tcPr>
          <w:p>
            <w:r>
              <w:rPr>
                <w:rFonts w:ascii="Calibri" w:cs="Calibri" w:eastAsia="Calibri" w:hAnsi="Calibri"/>
                <w:color w:val="2D3B4D"/>
                <w:sz w:val="22"/>
                <w:szCs w:val="22"/>
              </w:rPr>
              <w:t xml:space="preserve">Member complaints, branch performance reports, recurring monthly tasks consume disproportionate time.</w:t>
            </w:r>
          </w:p>
        </w:tc>
      </w:tr>
      <w:tr>
        <w:tc>
          <w:tcPr>
            <w:tcW w:type="dxa" w:w="2600"/>
            <w:tcBorders>
              <w:top w:val="single" w:color="ECE5D5" w:sz="1"/>
              <w:left w:val="none" w:color="FFFFFF" w:sz="0"/>
              <w:bottom w:val="single" w:color="ECE5D5" w:sz="1"/>
              <w:right w:val="none" w:color="FFFFFF" w:sz="0"/>
            </w:tcBorders>
            <w:tcMar>
              <w:top w:type="dxa" w:w="100"/>
              <w:left w:type="dxa" w:w="0"/>
              <w:bottom w:type="dxa" w:w="100"/>
              <w:right w:type="dxa" w:w="120"/>
            </w:tcMar>
          </w:tcPr>
          <w:p>
            <w:r>
              <w:rPr>
                <w:rFonts w:ascii="Calibri" w:cs="Calibri" w:eastAsia="Calibri" w:hAnsi="Calibri"/>
                <w:b/>
                <w:bCs/>
                <w:color w:val="1A2332"/>
                <w:sz w:val="22"/>
                <w:szCs w:val="22"/>
              </w:rPr>
              <w:t xml:space="preserve">Want</w:t>
            </w:r>
          </w:p>
        </w:tc>
        <w:tc>
          <w:tcPr>
            <w:tcW w:type="dxa" w:w="6760"/>
            <w:tcBorders>
              <w:top w:val="single" w:color="ECE5D5" w:sz="1"/>
              <w:left w:val="none" w:color="FFFFFF" w:sz="0"/>
              <w:bottom w:val="single" w:color="ECE5D5" w:sz="1"/>
              <w:right w:val="none" w:color="FFFFFF" w:sz="0"/>
            </w:tcBorders>
            <w:tcMar>
              <w:top w:type="dxa" w:w="100"/>
              <w:left w:type="dxa" w:w="0"/>
              <w:bottom w:type="dxa" w:w="100"/>
              <w:right w:type="dxa" w:w="0"/>
            </w:tcMar>
          </w:tcPr>
          <w:p>
            <w:r>
              <w:rPr>
                <w:rFonts w:ascii="Calibri" w:cs="Calibri" w:eastAsia="Calibri" w:hAnsi="Calibri"/>
                <w:color w:val="2D3B4D"/>
                <w:sz w:val="22"/>
                <w:szCs w:val="22"/>
              </w:rPr>
              <w:t xml:space="preserve">Templates that handle the repeatable structure of customer-facing communications.</w:t>
            </w:r>
          </w:p>
        </w:tc>
      </w:tr>
      <w:tr>
        <w:tc>
          <w:tcPr>
            <w:tcW w:type="dxa" w:w="2600"/>
            <w:tcBorders>
              <w:top w:val="single" w:color="ECE5D5" w:sz="1"/>
              <w:left w:val="none" w:color="FFFFFF" w:sz="0"/>
              <w:bottom w:val="single" w:color="ECE5D5" w:sz="1"/>
              <w:right w:val="none" w:color="FFFFFF" w:sz="0"/>
            </w:tcBorders>
            <w:tcMar>
              <w:top w:type="dxa" w:w="100"/>
              <w:left w:type="dxa" w:w="0"/>
              <w:bottom w:type="dxa" w:w="100"/>
              <w:right w:type="dxa" w:w="120"/>
            </w:tcMar>
          </w:tcPr>
          <w:p>
            <w:r>
              <w:rPr>
                <w:rFonts w:ascii="Calibri" w:cs="Calibri" w:eastAsia="Calibri" w:hAnsi="Calibri"/>
                <w:b/>
                <w:bCs/>
                <w:color w:val="1A2332"/>
                <w:sz w:val="22"/>
                <w:szCs w:val="22"/>
              </w:rPr>
              <w:t xml:space="preserve">Wins when</w:t>
            </w:r>
          </w:p>
        </w:tc>
        <w:tc>
          <w:tcPr>
            <w:tcW w:type="dxa" w:w="6760"/>
            <w:tcBorders>
              <w:top w:val="single" w:color="ECE5D5" w:sz="1"/>
              <w:left w:val="none" w:color="FFFFFF" w:sz="0"/>
              <w:bottom w:val="single" w:color="ECE5D5" w:sz="1"/>
              <w:right w:val="none" w:color="FFFFFF" w:sz="0"/>
            </w:tcBorders>
            <w:tcMar>
              <w:top w:type="dxa" w:w="100"/>
              <w:left w:type="dxa" w:w="0"/>
              <w:bottom w:type="dxa" w:w="100"/>
              <w:right w:type="dxa" w:w="0"/>
            </w:tcMar>
          </w:tcPr>
          <w:p>
            <w:r>
              <w:rPr>
                <w:rFonts w:ascii="Calibri" w:cs="Calibri" w:eastAsia="Calibri" w:hAnsi="Calibri"/>
                <w:color w:val="2D3B4D"/>
                <w:sz w:val="22"/>
                <w:szCs w:val="22"/>
              </w:rPr>
              <w:t xml:space="preserve">She drafts a complaint response with proper Reg E timing baked in, in 5 minutes.</w:t>
            </w:r>
          </w:p>
        </w:tc>
      </w:tr>
    </w:tbl>
    <w:p>
      <w:pPr>
        <w:pStyle w:val="Heading1"/>
        <w:pageBreakBefore/>
        <w:spacing w:after="240" w:before="480"/>
      </w:pPr>
      <w:r>
        <w:rPr>
          <w:rFonts w:ascii="Calibri" w:cs="Calibri" w:eastAsia="Calibri" w:hAnsi="Calibri"/>
          <w:b/>
          <w:bCs/>
          <w:color w:val="1A2332"/>
          <w:sz w:val="36"/>
          <w:szCs w:val="36"/>
        </w:rPr>
        <w:t xml:space="preserve">5. Information Architecture</w:t>
      </w:r>
    </w:p>
    <w:p>
      <w:pPr>
        <w:pStyle w:val="Heading2"/>
        <w:spacing w:after="160" w:before="360"/>
      </w:pPr>
      <w:r>
        <w:rPr>
          <w:rFonts w:ascii="Calibri" w:cs="Calibri" w:eastAsia="Calibri" w:hAnsi="Calibri"/>
          <w:b/>
          <w:bCs/>
          <w:color w:val="7A2A38"/>
          <w:sz w:val="28"/>
          <w:szCs w:val="28"/>
        </w:rPr>
        <w:t xml:space="preserve">5.1 Five-stage user journey</w:t>
      </w:r>
    </w:p>
    <w:p>
      <w:pPr>
        <w:spacing w:after="160" w:line="320"/>
      </w:pPr>
      <w:r>
        <w:rPr>
          <w:rFonts w:ascii="Calibri" w:cs="Calibri" w:eastAsia="Calibri" w:hAnsi="Calibri"/>
          <w:sz w:val="22"/>
          <w:szCs w:val="22"/>
        </w:rPr>
        <w:t xml:space="preserve">The module organizes a user's journey through skill mastery into five connected stages, each represented as a primary navigation tab. Stages are sequential by design but accessible in any order — a returning user jumps straight to the Toolbox; a curious browser starts at Cookbook.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2A38" w:sz="4"/>
              <w:left w:val="single" w:color="7A2A38" w:sz="24"/>
              <w:bottom w:val="single" w:color="7A2A38" w:sz="4"/>
              <w:right w:val="single" w:color="ECE5D5" w:sz="1"/>
            </w:tcBorders>
            <w:shd w:fill="FBF8F1" w:val="clear"/>
            <w:tcMar>
              <w:top w:type="dxa" w:w="200"/>
              <w:left w:type="dxa" w:w="280"/>
              <w:bottom w:type="dxa" w:w="200"/>
              <w:right w:type="dxa" w:w="200"/>
            </w:tcMar>
          </w:tcPr>
          <w:p>
            <w:pPr>
              <w:spacing w:after="80"/>
            </w:pPr>
            <w:r>
              <w:rPr>
                <w:rFonts w:ascii="Calibri" w:cs="Calibri" w:eastAsia="Calibri" w:hAnsi="Calibri"/>
                <w:b/>
                <w:bCs/>
                <w:color w:val="7A2A38"/>
                <w:spacing w:val="30"/>
                <w:sz w:val="18"/>
                <w:szCs w:val="18"/>
              </w:rPr>
              <w:t xml:space="preserve">DESIGN PRINCIPLE</w:t>
            </w:r>
          </w:p>
          <w:p>
            <w:pPr>
              <w:spacing w:after="0" w:line="300"/>
            </w:pPr>
            <w:r>
              <w:rPr>
                <w:rFonts w:ascii="Calibri" w:cs="Calibri" w:eastAsia="Calibri" w:hAnsi="Calibri"/>
                <w:i/>
                <w:iCs/>
                <w:color w:val="2D3B4D"/>
                <w:sz w:val="22"/>
                <w:szCs w:val="22"/>
              </w:rPr>
              <w:t xml:space="preserve">The journey diagram shown on the Start Here page must always make the user's current location clear and signpost the next obvious action. There should be no dead ends.</w:t>
            </w:r>
          </w:p>
        </w:tc>
      </w:tr>
    </w:tbl>
    <w:p>
      <w:pPr>
        <w:pStyle w:val="Heading3"/>
        <w:spacing w:after="120" w:before="280"/>
      </w:pPr>
      <w:r>
        <w:rPr>
          <w:rFonts w:ascii="Calibri" w:cs="Calibri" w:eastAsia="Calibri" w:hAnsi="Calibri"/>
          <w:b/>
          <w:bCs/>
          <w:color w:val="1A2332"/>
          <w:sz w:val="24"/>
          <w:szCs w:val="24"/>
        </w:rPr>
        <w:t xml:space="preserve">Stage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3500"/>
        <w:gridCol w:w="3760"/>
      </w:tblGrid>
      <w:tr>
        <w:trPr>
          <w:tblHeader/>
        </w:trPr>
        <w:tc>
          <w:tcPr>
            <w:tcW w:type="dxa" w:w="600"/>
            <w:tcBorders>
              <w:top w:val="single" w:color="1A2332" w:sz="1"/>
              <w:left w:val="single" w:color="1A2332" w:sz="1"/>
              <w:bottom w:val="single" w:color="1A2332" w:sz="1"/>
              <w:right w:val="single" w:color="1A2332" w:sz="1"/>
            </w:tcBorders>
            <w:shd w:fill="1A2332" w:val="clear"/>
            <w:tcMar>
              <w:top w:type="dxa" w:w="120"/>
              <w:left w:type="dxa" w:w="140"/>
              <w:bottom w:type="dxa" w:w="120"/>
              <w:right w:type="dxa" w:w="140"/>
            </w:tcMar>
          </w:tcPr>
          <w:p>
            <w:r>
              <w:rPr>
                <w:rFonts w:ascii="Calibri" w:cs="Calibri" w:eastAsia="Calibri" w:hAnsi="Calibri"/>
                <w:b/>
                <w:bCs/>
                <w:color w:val="FFFFFF"/>
                <w:spacing w:val="20"/>
                <w:sz w:val="18"/>
                <w:szCs w:val="18"/>
              </w:rPr>
              <w:t xml:space="preserve">#</w:t>
            </w:r>
          </w:p>
        </w:tc>
        <w:tc>
          <w:tcPr>
            <w:tcW w:type="dxa" w:w="1500"/>
            <w:tcBorders>
              <w:top w:val="single" w:color="1A2332" w:sz="1"/>
              <w:left w:val="single" w:color="1A2332" w:sz="1"/>
              <w:bottom w:val="single" w:color="1A2332" w:sz="1"/>
              <w:right w:val="single" w:color="1A2332" w:sz="1"/>
            </w:tcBorders>
            <w:shd w:fill="1A2332" w:val="clear"/>
            <w:tcMar>
              <w:top w:type="dxa" w:w="120"/>
              <w:left w:type="dxa" w:w="140"/>
              <w:bottom w:type="dxa" w:w="120"/>
              <w:right w:type="dxa" w:w="140"/>
            </w:tcMar>
          </w:tcPr>
          <w:p>
            <w:r>
              <w:rPr>
                <w:rFonts w:ascii="Calibri" w:cs="Calibri" w:eastAsia="Calibri" w:hAnsi="Calibri"/>
                <w:b/>
                <w:bCs/>
                <w:color w:val="FFFFFF"/>
                <w:spacing w:val="20"/>
                <w:sz w:val="18"/>
                <w:szCs w:val="18"/>
              </w:rPr>
              <w:t xml:space="preserve">Stage</w:t>
            </w:r>
          </w:p>
        </w:tc>
        <w:tc>
          <w:tcPr>
            <w:tcW w:type="dxa" w:w="3500"/>
            <w:tcBorders>
              <w:top w:val="single" w:color="1A2332" w:sz="1"/>
              <w:left w:val="single" w:color="1A2332" w:sz="1"/>
              <w:bottom w:val="single" w:color="1A2332" w:sz="1"/>
              <w:right w:val="single" w:color="1A2332" w:sz="1"/>
            </w:tcBorders>
            <w:shd w:fill="1A2332" w:val="clear"/>
            <w:tcMar>
              <w:top w:type="dxa" w:w="120"/>
              <w:left w:type="dxa" w:w="140"/>
              <w:bottom w:type="dxa" w:w="120"/>
              <w:right w:type="dxa" w:w="140"/>
            </w:tcMar>
          </w:tcPr>
          <w:p>
            <w:r>
              <w:rPr>
                <w:rFonts w:ascii="Calibri" w:cs="Calibri" w:eastAsia="Calibri" w:hAnsi="Calibri"/>
                <w:b/>
                <w:bCs/>
                <w:color w:val="FFFFFF"/>
                <w:spacing w:val="20"/>
                <w:sz w:val="18"/>
                <w:szCs w:val="18"/>
              </w:rPr>
              <w:t xml:space="preserve">Content type</w:t>
            </w:r>
          </w:p>
        </w:tc>
        <w:tc>
          <w:tcPr>
            <w:tcW w:type="dxa" w:w="3760"/>
            <w:tcBorders>
              <w:top w:val="single" w:color="1A2332" w:sz="1"/>
              <w:left w:val="single" w:color="1A2332" w:sz="1"/>
              <w:bottom w:val="single" w:color="1A2332" w:sz="1"/>
              <w:right w:val="single" w:color="1A2332" w:sz="1"/>
            </w:tcBorders>
            <w:shd w:fill="1A2332" w:val="clear"/>
            <w:tcMar>
              <w:top w:type="dxa" w:w="120"/>
              <w:left w:type="dxa" w:w="140"/>
              <w:bottom w:type="dxa" w:w="120"/>
              <w:right w:type="dxa" w:w="140"/>
            </w:tcMar>
          </w:tcPr>
          <w:p>
            <w:r>
              <w:rPr>
                <w:rFonts w:ascii="Calibri" w:cs="Calibri" w:eastAsia="Calibri" w:hAnsi="Calibri"/>
                <w:b/>
                <w:bCs/>
                <w:color w:val="FFFFFF"/>
                <w:spacing w:val="20"/>
                <w:sz w:val="18"/>
                <w:szCs w:val="18"/>
              </w:rPr>
              <w:t xml:space="preserve">Exit actions</w:t>
            </w:r>
          </w:p>
        </w:tc>
      </w:tr>
      <w:tr>
        <w:tc>
          <w:tcPr>
            <w:tcW w:type="dxa" w:w="6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i.</w:t>
            </w:r>
          </w:p>
        </w:tc>
        <w:tc>
          <w:tcPr>
            <w:tcW w:type="dxa" w:w="15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Start Here</w:t>
            </w:r>
          </w:p>
        </w:tc>
        <w:tc>
          <w:tcPr>
            <w:tcW w:type="dxa" w:w="35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Orientation, concepts, principles, regulatory index, glossary</w:t>
            </w:r>
          </w:p>
        </w:tc>
        <w:tc>
          <w:tcPr>
            <w:tcW w:type="dxa" w:w="376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 Cookbook (most popular)</w:t>
            </w:r>
          </w:p>
          <w:p>
            <w:pPr>
              <w:spacing w:after="60"/>
            </w:pPr>
            <w:r>
              <w:rPr>
                <w:rFonts w:ascii="Calibri" w:cs="Calibri" w:eastAsia="Calibri" w:hAnsi="Calibri"/>
                <w:color w:val="2D3B4D"/>
                <w:sz w:val="20"/>
                <w:szCs w:val="20"/>
              </w:rPr>
              <w:t xml:space="preserve">→ Build (custom)</w:t>
            </w:r>
          </w:p>
          <w:p>
            <w:pPr>
              <w:spacing w:after="60"/>
            </w:pPr>
            <w:r>
              <w:rPr>
                <w:rFonts w:ascii="Calibri" w:cs="Calibri" w:eastAsia="Calibri" w:hAnsi="Calibri"/>
                <w:color w:val="2D3B4D"/>
                <w:sz w:val="20"/>
                <w:szCs w:val="20"/>
              </w:rPr>
              <w:t xml:space="preserve">→ Toolbox (returning)</w:t>
            </w:r>
          </w:p>
        </w:tc>
      </w:tr>
      <w:tr>
        <w:tc>
          <w:tcPr>
            <w:tcW w:type="dxa" w:w="6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ii.</w:t>
            </w:r>
          </w:p>
        </w:tc>
        <w:tc>
          <w:tcPr>
            <w:tcW w:type="dxa" w:w="15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Cookbook</w:t>
            </w:r>
          </w:p>
        </w:tc>
        <w:tc>
          <w:tcPr>
            <w:tcW w:type="dxa" w:w="35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15 pre-built skill templates organized by role and difficulty</w:t>
            </w:r>
          </w:p>
        </w:tc>
        <w:tc>
          <w:tcPr>
            <w:tcW w:type="dxa" w:w="376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 Playground (Try)</w:t>
            </w:r>
          </w:p>
          <w:p>
            <w:pPr>
              <w:spacing w:after="60"/>
            </w:pPr>
            <w:r>
              <w:rPr>
                <w:rFonts w:ascii="Calibri" w:cs="Calibri" w:eastAsia="Calibri" w:hAnsi="Calibri"/>
                <w:color w:val="2D3B4D"/>
                <w:sz w:val="20"/>
                <w:szCs w:val="20"/>
              </w:rPr>
              <w:t xml:space="preserve">→ Build (Customize)</w:t>
            </w:r>
          </w:p>
        </w:tc>
      </w:tr>
      <w:tr>
        <w:tc>
          <w:tcPr>
            <w:tcW w:type="dxa" w:w="6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iii.</w:t>
            </w:r>
          </w:p>
        </w:tc>
        <w:tc>
          <w:tcPr>
            <w:tcW w:type="dxa" w:w="15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Build</w:t>
            </w:r>
          </w:p>
        </w:tc>
        <w:tc>
          <w:tcPr>
            <w:tcW w:type="dxa" w:w="35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5-step guided wizard</w:t>
            </w:r>
          </w:p>
        </w:tc>
        <w:tc>
          <w:tcPr>
            <w:tcW w:type="dxa" w:w="376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 Playground (Test)</w:t>
            </w:r>
          </w:p>
          <w:p>
            <w:pPr>
              <w:spacing w:after="60"/>
            </w:pPr>
            <w:r>
              <w:rPr>
                <w:rFonts w:ascii="Calibri" w:cs="Calibri" w:eastAsia="Calibri" w:hAnsi="Calibri"/>
                <w:color w:val="2D3B4D"/>
                <w:sz w:val="20"/>
                <w:szCs w:val="20"/>
              </w:rPr>
              <w:t xml:space="preserve">→ Toolbox (Save)</w:t>
            </w:r>
          </w:p>
        </w:tc>
      </w:tr>
      <w:tr>
        <w:tc>
          <w:tcPr>
            <w:tcW w:type="dxa" w:w="6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iv.</w:t>
            </w:r>
          </w:p>
        </w:tc>
        <w:tc>
          <w:tcPr>
            <w:tcW w:type="dxa" w:w="15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Playground</w:t>
            </w:r>
          </w:p>
        </w:tc>
        <w:tc>
          <w:tcPr>
            <w:tcW w:type="dxa" w:w="35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Live conversation with Claude using API</w:t>
            </w:r>
          </w:p>
        </w:tc>
        <w:tc>
          <w:tcPr>
            <w:tcW w:type="dxa" w:w="376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 Toolbox (Save)</w:t>
            </w:r>
          </w:p>
          <w:p>
            <w:pPr>
              <w:spacing w:after="60"/>
            </w:pPr>
            <w:r>
              <w:rPr>
                <w:rFonts w:ascii="Calibri" w:cs="Calibri" w:eastAsia="Calibri" w:hAnsi="Calibri"/>
                <w:color w:val="2D3B4D"/>
                <w:sz w:val="20"/>
                <w:szCs w:val="20"/>
              </w:rPr>
              <w:t xml:space="preserve">→ Build (Edit)</w:t>
            </w:r>
          </w:p>
          <w:p>
            <w:pPr>
              <w:spacing w:after="60"/>
            </w:pPr>
            <w:r>
              <w:rPr>
                <w:rFonts w:ascii="Calibri" w:cs="Calibri" w:eastAsia="Calibri" w:hAnsi="Calibri"/>
                <w:color w:val="2D3B4D"/>
                <w:sz w:val="20"/>
                <w:szCs w:val="20"/>
              </w:rPr>
              <w:t xml:space="preserve">→ Download (.md)</w:t>
            </w:r>
          </w:p>
        </w:tc>
      </w:tr>
      <w:tr>
        <w:tc>
          <w:tcPr>
            <w:tcW w:type="dxa" w:w="6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v.</w:t>
            </w:r>
          </w:p>
        </w:tc>
        <w:tc>
          <w:tcPr>
            <w:tcW w:type="dxa" w:w="15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My Toolbox</w:t>
            </w:r>
          </w:p>
        </w:tc>
        <w:tc>
          <w:tcPr>
            <w:tcW w:type="dxa" w:w="35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Persistent library of saved skills</w:t>
            </w:r>
          </w:p>
        </w:tc>
        <w:tc>
          <w:tcPr>
            <w:tcW w:type="dxa" w:w="376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 Playground (Run)</w:t>
            </w:r>
          </w:p>
          <w:p>
            <w:pPr>
              <w:spacing w:after="60"/>
            </w:pPr>
            <w:r>
              <w:rPr>
                <w:rFonts w:ascii="Calibri" w:cs="Calibri" w:eastAsia="Calibri" w:hAnsi="Calibri"/>
                <w:color w:val="2D3B4D"/>
                <w:sz w:val="20"/>
                <w:szCs w:val="20"/>
              </w:rPr>
              <w:t xml:space="preserve">→ Build (Edit)</w:t>
            </w:r>
          </w:p>
          <w:p>
            <w:pPr>
              <w:spacing w:after="60"/>
            </w:pPr>
            <w:r>
              <w:rPr>
                <w:rFonts w:ascii="Calibri" w:cs="Calibri" w:eastAsia="Calibri" w:hAnsi="Calibri"/>
                <w:color w:val="2D3B4D"/>
                <w:sz w:val="20"/>
                <w:szCs w:val="20"/>
              </w:rPr>
              <w:t xml:space="preserve">→ Download or Copy</w:t>
            </w:r>
          </w:p>
        </w:tc>
      </w:tr>
    </w:tbl>
    <w:p>
      <w:pPr>
        <w:pStyle w:val="Heading2"/>
        <w:spacing w:after="160" w:before="360"/>
      </w:pPr>
      <w:r>
        <w:rPr>
          <w:rFonts w:ascii="Calibri" w:cs="Calibri" w:eastAsia="Calibri" w:hAnsi="Calibri"/>
          <w:b/>
          <w:bCs/>
          <w:color w:val="7A2A38"/>
          <w:sz w:val="28"/>
          <w:szCs w:val="28"/>
        </w:rPr>
        <w:t xml:space="preserve">5.2 Cross-navigation</w:t>
      </w:r>
    </w:p>
    <w:p>
      <w:pPr>
        <w:spacing w:after="160" w:line="320"/>
      </w:pPr>
      <w:r>
        <w:rPr>
          <w:rFonts w:ascii="Calibri" w:cs="Calibri" w:eastAsia="Calibri" w:hAnsi="Calibri"/>
          <w:sz w:val="22"/>
          <w:szCs w:val="22"/>
        </w:rPr>
        <w:t xml:space="preserve">Beyond linear progression, every stage offers contextual cross-links. Examples:</w:t>
      </w:r>
    </w:p>
    <w:p>
      <w:pPr>
        <w:pStyle w:val="ListParagraph"/>
        <w:numPr>
          <w:ilvl w:val="0"/>
          <w:numId w:val="2"/>
        </w:numPr>
        <w:spacing w:after="80" w:line="300"/>
      </w:pPr>
      <w:r>
        <w:rPr>
          <w:rFonts w:ascii="Calibri" w:cs="Calibri" w:eastAsia="Calibri" w:hAnsi="Calibri"/>
          <w:sz w:val="22"/>
          <w:szCs w:val="22"/>
        </w:rPr>
        <w:t xml:space="preserve">End of Cookbook: "Don't see what you need?" strip linking to Build.</w:t>
      </w:r>
    </w:p>
    <w:p>
      <w:pPr>
        <w:pStyle w:val="ListParagraph"/>
        <w:numPr>
          <w:ilvl w:val="0"/>
          <w:numId w:val="2"/>
        </w:numPr>
        <w:spacing w:after="80" w:line="300"/>
      </w:pPr>
      <w:r>
        <w:rPr>
          <w:rFonts w:ascii="Calibri" w:cs="Calibri" w:eastAsia="Calibri" w:hAnsi="Calibri"/>
          <w:sz w:val="22"/>
          <w:szCs w:val="22"/>
        </w:rPr>
        <w:t xml:space="preserve">End of Start Here: Three tall CTA cards (Browse Cookbook · Build from scratch · Open Toolbox) for explicit path selection.</w:t>
      </w:r>
    </w:p>
    <w:p>
      <w:pPr>
        <w:pStyle w:val="ListParagraph"/>
        <w:numPr>
          <w:ilvl w:val="0"/>
          <w:numId w:val="2"/>
        </w:numPr>
        <w:spacing w:after="80" w:line="300"/>
      </w:pPr>
      <w:r>
        <w:rPr>
          <w:rFonts w:ascii="Calibri" w:cs="Calibri" w:eastAsia="Calibri" w:hAnsi="Calibri"/>
          <w:sz w:val="22"/>
          <w:szCs w:val="22"/>
        </w:rPr>
        <w:t xml:space="preserve">Playground side panel: Always-visible actions (Save, Edit in Builder, Download .md, Copy for GitHub).</w:t>
      </w:r>
    </w:p>
    <w:p>
      <w:pPr>
        <w:pStyle w:val="ListParagraph"/>
        <w:numPr>
          <w:ilvl w:val="0"/>
          <w:numId w:val="2"/>
        </w:numPr>
        <w:spacing w:after="80" w:line="300"/>
      </w:pPr>
      <w:r>
        <w:rPr>
          <w:rFonts w:ascii="Calibri" w:cs="Calibri" w:eastAsia="Calibri" w:hAnsi="Calibri"/>
          <w:sz w:val="22"/>
          <w:szCs w:val="22"/>
        </w:rPr>
        <w:t xml:space="preserve">Empty Toolbox state: Routes back to Cookbook and Build with rationale.</w:t>
      </w:r>
    </w:p>
    <w:p>
      <w:pPr>
        <w:pStyle w:val="Heading2"/>
        <w:spacing w:after="160" w:before="360"/>
      </w:pPr>
      <w:r>
        <w:rPr>
          <w:rFonts w:ascii="Calibri" w:cs="Calibri" w:eastAsia="Calibri" w:hAnsi="Calibri"/>
          <w:b/>
          <w:bCs/>
          <w:color w:val="7A2A38"/>
          <w:sz w:val="28"/>
          <w:szCs w:val="28"/>
        </w:rPr>
        <w:t xml:space="preserve">5.3 State persistence rules</w:t>
      </w:r>
    </w:p>
    <w:p>
      <w:pPr>
        <w:pStyle w:val="ListParagraph"/>
        <w:numPr>
          <w:ilvl w:val="0"/>
          <w:numId w:val="2"/>
        </w:numPr>
        <w:spacing w:after="80" w:line="300"/>
      </w:pPr>
      <w:r>
        <w:rPr>
          <w:rFonts w:ascii="Calibri" w:cs="Calibri" w:eastAsia="Calibri" w:hAnsi="Calibri"/>
          <w:sz w:val="22"/>
          <w:szCs w:val="22"/>
        </w:rPr>
        <w:t xml:space="preserve">Active skill — held in memory; survives navigation between tabs but not page reload.</w:t>
      </w:r>
    </w:p>
    <w:p>
      <w:pPr>
        <w:pStyle w:val="ListParagraph"/>
        <w:numPr>
          <w:ilvl w:val="0"/>
          <w:numId w:val="2"/>
        </w:numPr>
        <w:spacing w:after="80" w:line="300"/>
      </w:pPr>
      <w:r>
        <w:rPr>
          <w:rFonts w:ascii="Calibri" w:cs="Calibri" w:eastAsia="Calibri" w:hAnsi="Calibri"/>
          <w:sz w:val="22"/>
          <w:szCs w:val="22"/>
        </w:rPr>
        <w:t xml:space="preserve">Saved skills — persisted via Storage abstraction (window.storage → localStorage → memory fallback). Survive reload and session changes.</w:t>
      </w:r>
    </w:p>
    <w:p>
      <w:pPr>
        <w:pStyle w:val="ListParagraph"/>
        <w:numPr>
          <w:ilvl w:val="0"/>
          <w:numId w:val="2"/>
        </w:numPr>
        <w:spacing w:after="80" w:line="300"/>
      </w:pPr>
      <w:r>
        <w:rPr>
          <w:rFonts w:ascii="Calibri" w:cs="Calibri" w:eastAsia="Calibri" w:hAnsi="Calibri"/>
          <w:sz w:val="22"/>
          <w:szCs w:val="22"/>
        </w:rPr>
        <w:t xml:space="preserve">Conversation thread — held in memory per active skill; reset when a different skill is loaded.</w:t>
      </w:r>
    </w:p>
    <w:p>
      <w:pPr>
        <w:pStyle w:val="ListParagraph"/>
        <w:numPr>
          <w:ilvl w:val="0"/>
          <w:numId w:val="2"/>
        </w:numPr>
        <w:spacing w:after="80" w:line="300"/>
      </w:pPr>
      <w:r>
        <w:rPr>
          <w:rFonts w:ascii="Calibri" w:cs="Calibri" w:eastAsia="Calibri" w:hAnsi="Calibri"/>
          <w:sz w:val="22"/>
          <w:szCs w:val="22"/>
        </w:rPr>
        <w:t xml:space="preserve">Wizard form state — held in DOM (input values); cleared when the user starts a fresh build.</w:t>
      </w:r>
    </w:p>
    <w:p>
      <w:pPr>
        <w:pStyle w:val="Heading1"/>
        <w:pageBreakBefore/>
        <w:spacing w:after="240" w:before="480"/>
      </w:pPr>
      <w:r>
        <w:rPr>
          <w:rFonts w:ascii="Calibri" w:cs="Calibri" w:eastAsia="Calibri" w:hAnsi="Calibri"/>
          <w:b/>
          <w:bCs/>
          <w:color w:val="1A2332"/>
          <w:sz w:val="36"/>
          <w:szCs w:val="36"/>
        </w:rPr>
        <w:t xml:space="preserve">6. Playground — Detailed Requirements</w:t>
      </w:r>
    </w:p>
    <w:p>
      <w:pPr>
        <w:spacing w:after="160" w:line="320"/>
      </w:pPr>
      <w:r>
        <w:rPr>
          <w:rFonts w:ascii="Calibri" w:cs="Calibri" w:eastAsia="Calibri" w:hAnsi="Calibri"/>
          <w:sz w:val="22"/>
          <w:szCs w:val="22"/>
        </w:rPr>
        <w:t xml:space="preserve">The Playground is the module's core interactive surface. It is where a skill stops being an abstract concept and starts producing actual deliverables.</w:t>
      </w:r>
    </w:p>
    <w:p>
      <w:pPr>
        <w:pStyle w:val="Heading2"/>
        <w:spacing w:after="160" w:before="360"/>
      </w:pPr>
      <w:r>
        <w:rPr>
          <w:rFonts w:ascii="Calibri" w:cs="Calibri" w:eastAsia="Calibri" w:hAnsi="Calibri"/>
          <w:b/>
          <w:bCs/>
          <w:color w:val="7A2A38"/>
          <w:sz w:val="28"/>
          <w:szCs w:val="28"/>
        </w:rPr>
        <w:t xml:space="preserve">6.1 Layout</w:t>
      </w:r>
    </w:p>
    <w:p>
      <w:pPr>
        <w:pStyle w:val="Heading3"/>
        <w:spacing w:after="120" w:before="280"/>
      </w:pPr>
      <w:r>
        <w:rPr>
          <w:rFonts w:ascii="Calibri" w:cs="Calibri" w:eastAsia="Calibri" w:hAnsi="Calibri"/>
          <w:b/>
          <w:bCs/>
          <w:color w:val="1A2332"/>
          <w:sz w:val="24"/>
          <w:szCs w:val="24"/>
        </w:rPr>
        <w:t xml:space="preserve">Three-column on desktop</w:t>
      </w:r>
    </w:p>
    <w:p>
      <w:pPr>
        <w:pStyle w:val="ListParagraph"/>
        <w:numPr>
          <w:ilvl w:val="0"/>
          <w:numId w:val="2"/>
        </w:numPr>
        <w:spacing w:after="80" w:line="300"/>
      </w:pPr>
      <w:r>
        <w:rPr>
          <w:rFonts w:ascii="Calibri" w:cs="Calibri" w:eastAsia="Calibri" w:hAnsi="Calibri"/>
          <w:sz w:val="22"/>
          <w:szCs w:val="22"/>
        </w:rPr>
        <w:t xml:space="preserve">Left aside (340px): Active skill summary card with department, output format, tone, maturity badge. Below it: Save / Edit / Download / Copy actions.</w:t>
      </w:r>
    </w:p>
    <w:p>
      <w:pPr>
        <w:pStyle w:val="ListParagraph"/>
        <w:numPr>
          <w:ilvl w:val="0"/>
          <w:numId w:val="2"/>
        </w:numPr>
        <w:spacing w:after="80" w:line="300"/>
      </w:pPr>
      <w:r>
        <w:rPr>
          <w:rFonts w:ascii="Calibri" w:cs="Calibri" w:eastAsia="Calibri" w:hAnsi="Calibri"/>
          <w:sz w:val="22"/>
          <w:szCs w:val="22"/>
        </w:rPr>
        <w:t xml:space="preserve">Center main: Conversation thread (chat-style), input textarea, sample-scenario chips, collapsible .md viewer panel.</w:t>
      </w:r>
    </w:p>
    <w:p>
      <w:pPr>
        <w:pStyle w:val="ListParagraph"/>
        <w:numPr>
          <w:ilvl w:val="0"/>
          <w:numId w:val="2"/>
        </w:numPr>
        <w:spacing w:after="80" w:line="300"/>
      </w:pPr>
      <w:r>
        <w:rPr>
          <w:rFonts w:ascii="Calibri" w:cs="Calibri" w:eastAsia="Calibri" w:hAnsi="Calibri"/>
          <w:sz w:val="22"/>
          <w:szCs w:val="22"/>
        </w:rPr>
        <w:t xml:space="preserve">On screens under 1000px: Stacks vertically; aside loses sticky positioning.</w:t>
      </w:r>
    </w:p>
    <w:p>
      <w:pPr>
        <w:pStyle w:val="Heading3"/>
        <w:spacing w:after="120" w:before="280"/>
      </w:pPr>
      <w:r>
        <w:rPr>
          <w:rFonts w:ascii="Calibri" w:cs="Calibri" w:eastAsia="Calibri" w:hAnsi="Calibri"/>
          <w:b/>
          <w:bCs/>
          <w:color w:val="1A2332"/>
          <w:sz w:val="24"/>
          <w:szCs w:val="24"/>
        </w:rPr>
        <w:t xml:space="preserve">Empty state</w:t>
      </w:r>
    </w:p>
    <w:p>
      <w:pPr>
        <w:spacing w:after="160" w:line="320"/>
      </w:pPr>
      <w:r>
        <w:rPr>
          <w:rFonts w:ascii="Calibri" w:cs="Calibri" w:eastAsia="Calibri" w:hAnsi="Calibri"/>
          <w:sz w:val="22"/>
          <w:szCs w:val="22"/>
        </w:rPr>
        <w:t xml:space="preserve">When no skill is loaded, the Playground shows an explainer with two CTAs: Browse Cookbook (primary) and Build a new skill (secondary). The empty state never blocks — it offers paths.</w:t>
      </w:r>
    </w:p>
    <w:p>
      <w:pPr>
        <w:pStyle w:val="Heading2"/>
        <w:spacing w:after="160" w:before="360"/>
      </w:pPr>
      <w:r>
        <w:rPr>
          <w:rFonts w:ascii="Calibri" w:cs="Calibri" w:eastAsia="Calibri" w:hAnsi="Calibri"/>
          <w:b/>
          <w:bCs/>
          <w:color w:val="7A2A38"/>
          <w:sz w:val="28"/>
          <w:szCs w:val="28"/>
        </w:rPr>
        <w:t xml:space="preserve">6.2 Conversation thread</w:t>
      </w:r>
    </w:p>
    <w:p>
      <w:pPr>
        <w:pStyle w:val="Heading3"/>
        <w:spacing w:after="120" w:before="280"/>
      </w:pPr>
      <w:r>
        <w:rPr>
          <w:rFonts w:ascii="Calibri" w:cs="Calibri" w:eastAsia="Calibri" w:hAnsi="Calibri"/>
          <w:b/>
          <w:bCs/>
          <w:color w:val="1A2332"/>
          <w:sz w:val="24"/>
          <w:szCs w:val="24"/>
        </w:rPr>
        <w:t xml:space="preserve">Functional requirements</w:t>
      </w:r>
    </w:p>
    <w:p>
      <w:pPr>
        <w:pStyle w:val="ListParagraph"/>
        <w:numPr>
          <w:ilvl w:val="0"/>
          <w:numId w:val="3"/>
        </w:numPr>
        <w:spacing w:after="80" w:line="300"/>
      </w:pPr>
      <w:r>
        <w:rPr>
          <w:rFonts w:ascii="Calibri" w:cs="Calibri" w:eastAsia="Calibri" w:hAnsi="Calibri"/>
          <w:sz w:val="22"/>
          <w:szCs w:val="22"/>
        </w:rPr>
        <w:t xml:space="preserve">FR-PG-01 — Multi-turn conversation. The thread maintains the full message history per active skill. Each turn includes the prior turns in the API call.</w:t>
      </w:r>
    </w:p>
    <w:p>
      <w:pPr>
        <w:pStyle w:val="ListParagraph"/>
        <w:numPr>
          <w:ilvl w:val="0"/>
          <w:numId w:val="3"/>
        </w:numPr>
        <w:spacing w:after="80" w:line="300"/>
      </w:pPr>
      <w:r>
        <w:rPr>
          <w:rFonts w:ascii="Calibri" w:cs="Calibri" w:eastAsia="Calibri" w:hAnsi="Calibri"/>
          <w:sz w:val="22"/>
          <w:szCs w:val="22"/>
        </w:rPr>
        <w:t xml:space="preserve">FR-PG-02 — User and assistant roles. User messages render with a blue rail and pre-wrapped plaintext. Claude messages render with a burgundy rail, dark background, and full markdown rendering.</w:t>
      </w:r>
    </w:p>
    <w:p>
      <w:pPr>
        <w:pStyle w:val="ListParagraph"/>
        <w:numPr>
          <w:ilvl w:val="0"/>
          <w:numId w:val="3"/>
        </w:numPr>
        <w:spacing w:after="80" w:line="300"/>
      </w:pPr>
      <w:r>
        <w:rPr>
          <w:rFonts w:ascii="Calibri" w:cs="Calibri" w:eastAsia="Calibri" w:hAnsi="Calibri"/>
          <w:sz w:val="22"/>
          <w:szCs w:val="22"/>
        </w:rPr>
        <w:t xml:space="preserve">FR-PG-03 — Real-time streaming feedback. Show a spinner with "Claude is thinking..." while a request is in flight.</w:t>
      </w:r>
    </w:p>
    <w:p>
      <w:pPr>
        <w:pStyle w:val="ListParagraph"/>
        <w:numPr>
          <w:ilvl w:val="0"/>
          <w:numId w:val="3"/>
        </w:numPr>
        <w:spacing w:after="80" w:line="300"/>
      </w:pPr>
      <w:r>
        <w:rPr>
          <w:rFonts w:ascii="Calibri" w:cs="Calibri" w:eastAsia="Calibri" w:hAnsi="Calibri"/>
          <w:sz w:val="22"/>
          <w:szCs w:val="22"/>
        </w:rPr>
        <w:t xml:space="preserve">FR-PG-04 — Auto-scroll to newest. Thread scrolls to the latest message after each turn.</w:t>
      </w:r>
    </w:p>
    <w:p>
      <w:pPr>
        <w:pStyle w:val="ListParagraph"/>
        <w:numPr>
          <w:ilvl w:val="0"/>
          <w:numId w:val="3"/>
        </w:numPr>
        <w:spacing w:after="80" w:line="300"/>
      </w:pPr>
      <w:r>
        <w:rPr>
          <w:rFonts w:ascii="Calibri" w:cs="Calibri" w:eastAsia="Calibri" w:hAnsi="Calibri"/>
          <w:sz w:val="22"/>
          <w:szCs w:val="22"/>
        </w:rPr>
        <w:t xml:space="preserve">FR-PG-05 — Per-message copy. Each Claude message has a Copy action that copies the raw markdown source (not rendered HTML), enabling pastes into GitHub, Word, or further iteration.</w:t>
      </w:r>
    </w:p>
    <w:p>
      <w:pPr>
        <w:pStyle w:val="ListParagraph"/>
        <w:numPr>
          <w:ilvl w:val="0"/>
          <w:numId w:val="3"/>
        </w:numPr>
        <w:spacing w:after="80" w:line="300"/>
      </w:pPr>
      <w:r>
        <w:rPr>
          <w:rFonts w:ascii="Calibri" w:cs="Calibri" w:eastAsia="Calibri" w:hAnsi="Calibri"/>
          <w:sz w:val="22"/>
          <w:szCs w:val="22"/>
        </w:rPr>
        <w:t xml:space="preserve">FR-PG-06 — Reset. A Reset button clears the conversation; user must confirm before clearing a thread with messages.</w:t>
      </w:r>
    </w:p>
    <w:p>
      <w:pPr>
        <w:pStyle w:val="ListParagraph"/>
        <w:numPr>
          <w:ilvl w:val="0"/>
          <w:numId w:val="3"/>
        </w:numPr>
        <w:spacing w:after="80" w:line="300"/>
      </w:pPr>
      <w:r>
        <w:rPr>
          <w:rFonts w:ascii="Calibri" w:cs="Calibri" w:eastAsia="Calibri" w:hAnsi="Calibri"/>
          <w:sz w:val="22"/>
          <w:szCs w:val="22"/>
        </w:rPr>
        <w:t xml:space="preserve">FR-PG-07 — Error display. API errors render inline in the thread as a distinct error message style; the user can retry.</w:t>
      </w:r>
    </w:p>
    <w:p>
      <w:pPr>
        <w:pStyle w:val="Heading3"/>
        <w:spacing w:after="120" w:before="280"/>
      </w:pPr>
      <w:r>
        <w:rPr>
          <w:rFonts w:ascii="Calibri" w:cs="Calibri" w:eastAsia="Calibri" w:hAnsi="Calibri"/>
          <w:b/>
          <w:bCs/>
          <w:color w:val="1A2332"/>
          <w:sz w:val="24"/>
          <w:szCs w:val="24"/>
        </w:rPr>
        <w:t xml:space="preserve">Markdown rendering specification</w:t>
      </w:r>
    </w:p>
    <w:p>
      <w:pPr>
        <w:spacing w:after="160" w:line="320"/>
      </w:pPr>
      <w:r>
        <w:rPr>
          <w:rFonts w:ascii="Calibri" w:cs="Calibri" w:eastAsia="Calibri" w:hAnsi="Calibri"/>
          <w:sz w:val="22"/>
          <w:szCs w:val="22"/>
        </w:rPr>
        <w:t xml:space="preserve">Claude's responses must render with full structural fidelity. The internal renderMarkdown() function supports:</w:t>
      </w:r>
    </w:p>
    <w:p>
      <w:pPr>
        <w:pStyle w:val="ListParagraph"/>
        <w:numPr>
          <w:ilvl w:val="0"/>
          <w:numId w:val="2"/>
        </w:numPr>
        <w:spacing w:after="80" w:line="300"/>
      </w:pPr>
      <w:r>
        <w:rPr>
          <w:rFonts w:ascii="Calibri" w:cs="Calibri" w:eastAsia="Calibri" w:hAnsi="Calibri"/>
          <w:sz w:val="22"/>
          <w:szCs w:val="22"/>
        </w:rPr>
        <w:t xml:space="preserve">Headers H1–H4 (mapped to serif gold, serif gold with rule, serif white, mono uppercase gold respectively).</w:t>
      </w:r>
    </w:p>
    <w:p>
      <w:pPr>
        <w:pStyle w:val="ListParagraph"/>
        <w:numPr>
          <w:ilvl w:val="0"/>
          <w:numId w:val="2"/>
        </w:numPr>
        <w:spacing w:after="80" w:line="300"/>
      </w:pPr>
      <w:r>
        <w:rPr>
          <w:rFonts w:ascii="Calibri" w:cs="Calibri" w:eastAsia="Calibri" w:hAnsi="Calibri"/>
          <w:sz w:val="22"/>
          <w:szCs w:val="22"/>
        </w:rPr>
        <w:t xml:space="preserve">Tables (Markdown pipe syntax, with separator row detection).</w:t>
      </w:r>
    </w:p>
    <w:p>
      <w:pPr>
        <w:pStyle w:val="ListParagraph"/>
        <w:numPr>
          <w:ilvl w:val="0"/>
          <w:numId w:val="2"/>
        </w:numPr>
        <w:spacing w:after="80" w:line="300"/>
      </w:pPr>
      <w:r>
        <w:rPr>
          <w:rFonts w:ascii="Calibri" w:cs="Calibri" w:eastAsia="Calibri" w:hAnsi="Calibri"/>
          <w:sz w:val="22"/>
          <w:szCs w:val="22"/>
        </w:rPr>
        <w:t xml:space="preserve">Ordered and unordered lists (with gold marker color).</w:t>
      </w:r>
    </w:p>
    <w:p>
      <w:pPr>
        <w:pStyle w:val="ListParagraph"/>
        <w:numPr>
          <w:ilvl w:val="0"/>
          <w:numId w:val="2"/>
        </w:numPr>
        <w:spacing w:after="80" w:line="300"/>
      </w:pPr>
      <w:r>
        <w:rPr>
          <w:rFonts w:ascii="Calibri" w:cs="Calibri" w:eastAsia="Calibri" w:hAnsi="Calibri"/>
          <w:sz w:val="22"/>
          <w:szCs w:val="22"/>
        </w:rPr>
        <w:t xml:space="preserve">Blockquotes (gold left border, subtle gold-tinted background).</w:t>
      </w:r>
    </w:p>
    <w:p>
      <w:pPr>
        <w:pStyle w:val="ListParagraph"/>
        <w:numPr>
          <w:ilvl w:val="0"/>
          <w:numId w:val="2"/>
        </w:numPr>
        <w:spacing w:after="80" w:line="300"/>
      </w:pPr>
      <w:r>
        <w:rPr>
          <w:rFonts w:ascii="Calibri" w:cs="Calibri" w:eastAsia="Calibri" w:hAnsi="Calibri"/>
          <w:sz w:val="22"/>
          <w:szCs w:val="22"/>
        </w:rPr>
        <w:t xml:space="preserve">Horizontal rules (`---` or `***`).</w:t>
      </w:r>
    </w:p>
    <w:p>
      <w:pPr>
        <w:pStyle w:val="ListParagraph"/>
        <w:numPr>
          <w:ilvl w:val="0"/>
          <w:numId w:val="2"/>
        </w:numPr>
        <w:spacing w:after="80" w:line="300"/>
      </w:pPr>
      <w:r>
        <w:rPr>
          <w:rFonts w:ascii="Calibri" w:cs="Calibri" w:eastAsia="Calibri" w:hAnsi="Calibri"/>
          <w:sz w:val="22"/>
          <w:szCs w:val="22"/>
        </w:rPr>
        <w:t xml:space="preserve">Bold (`**text**`), italic (`*text*`), inline code (`` `text` ``).</w:t>
      </w:r>
    </w:p>
    <w:p>
      <w:pPr>
        <w:pStyle w:val="ListParagraph"/>
        <w:numPr>
          <w:ilvl w:val="0"/>
          <w:numId w:val="2"/>
        </w:numPr>
        <w:spacing w:after="80" w:line="300"/>
      </w:pPr>
      <w:r>
        <w:rPr>
          <w:rFonts w:ascii="Calibri" w:cs="Calibri" w:eastAsia="Calibri" w:hAnsi="Calibri"/>
          <w:sz w:val="22"/>
          <w:szCs w:val="22"/>
        </w:rPr>
        <w:t xml:space="preserve">Fenced code blocks (`` ``` ``) with monospace and dark inset background.</w:t>
      </w:r>
    </w:p>
    <w:p>
      <w:pPr>
        <w:pStyle w:val="ListParagraph"/>
        <w:numPr>
          <w:ilvl w:val="0"/>
          <w:numId w:val="2"/>
        </w:numPr>
        <w:spacing w:after="80" w:line="300"/>
      </w:pPr>
      <w:r>
        <w:rPr>
          <w:rFonts w:ascii="Calibri" w:cs="Calibri" w:eastAsia="Calibri" w:hAnsi="Calibri"/>
          <w:sz w:val="22"/>
          <w:szCs w:val="22"/>
        </w:rPr>
        <w:t xml:space="preserve">HTTP/HTTPS hyperlinks (open in new tab; gold underline-dotted style).</w:t>
      </w:r>
    </w:p>
    <w:p>
      <w:pPr>
        <w:pStyle w:val="Heading2"/>
        <w:spacing w:after="160" w:before="360"/>
      </w:pPr>
      <w:r>
        <w:rPr>
          <w:rFonts w:ascii="Calibri" w:cs="Calibri" w:eastAsia="Calibri" w:hAnsi="Calibri"/>
          <w:b/>
          <w:bCs/>
          <w:color w:val="7A2A38"/>
          <w:sz w:val="28"/>
          <w:szCs w:val="28"/>
        </w:rPr>
        <w:t xml:space="preserve">6.3 API integration</w:t>
      </w:r>
    </w:p>
    <w:p>
      <w:pPr>
        <w:pStyle w:val="Heading3"/>
        <w:spacing w:after="120" w:before="280"/>
      </w:pPr>
      <w:r>
        <w:rPr>
          <w:rFonts w:ascii="Calibri" w:cs="Calibri" w:eastAsia="Calibri" w:hAnsi="Calibri"/>
          <w:b/>
          <w:bCs/>
          <w:color w:val="1A2332"/>
          <w:sz w:val="24"/>
          <w:szCs w:val="24"/>
        </w:rPr>
        <w:t xml:space="preserve">Endpoint configuration</w:t>
      </w:r>
    </w:p>
    <w:p>
      <w:pPr>
        <w:spacing w:after="160" w:line="320"/>
      </w:pPr>
      <w:r>
        <w:rPr>
          <w:rFonts w:ascii="Calibri" w:cs="Calibri" w:eastAsia="Calibri" w:hAnsi="Calibri"/>
          <w:sz w:val="22"/>
          <w:szCs w:val="22"/>
        </w:rPr>
        <w:t xml:space="preserve">All API parameters are declared in a single CONFIG block at the top of the script for easy modification by the engineering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1A2332" w:sz="1"/>
              <w:left w:val="single" w:color="1A2332" w:sz="1"/>
              <w:bottom w:val="single" w:color="1A2332" w:sz="1"/>
              <w:right w:val="single" w:color="1A2332" w:sz="1"/>
            </w:tcBorders>
            <w:shd w:fill="1A2332" w:val="clear"/>
            <w:tcMar>
              <w:top w:type="dxa" w:w="120"/>
              <w:left w:type="dxa" w:w="140"/>
              <w:bottom w:type="dxa" w:w="120"/>
              <w:right w:type="dxa" w:w="140"/>
            </w:tcMar>
          </w:tcPr>
          <w:p>
            <w:r>
              <w:rPr>
                <w:rFonts w:ascii="Calibri" w:cs="Calibri" w:eastAsia="Calibri" w:hAnsi="Calibri"/>
                <w:b/>
                <w:bCs/>
                <w:color w:val="FFFFFF"/>
                <w:spacing w:val="20"/>
                <w:sz w:val="18"/>
                <w:szCs w:val="18"/>
              </w:rPr>
              <w:t xml:space="preserve">Setting</w:t>
            </w:r>
          </w:p>
        </w:tc>
        <w:tc>
          <w:tcPr>
            <w:tcW w:type="dxa" w:w="3200"/>
            <w:tcBorders>
              <w:top w:val="single" w:color="1A2332" w:sz="1"/>
              <w:left w:val="single" w:color="1A2332" w:sz="1"/>
              <w:bottom w:val="single" w:color="1A2332" w:sz="1"/>
              <w:right w:val="single" w:color="1A2332" w:sz="1"/>
            </w:tcBorders>
            <w:shd w:fill="1A2332" w:val="clear"/>
            <w:tcMar>
              <w:top w:type="dxa" w:w="120"/>
              <w:left w:type="dxa" w:w="140"/>
              <w:bottom w:type="dxa" w:w="120"/>
              <w:right w:type="dxa" w:w="140"/>
            </w:tcMar>
          </w:tcPr>
          <w:p>
            <w:r>
              <w:rPr>
                <w:rFonts w:ascii="Calibri" w:cs="Calibri" w:eastAsia="Calibri" w:hAnsi="Calibri"/>
                <w:b/>
                <w:bCs/>
                <w:color w:val="FFFFFF"/>
                <w:spacing w:val="20"/>
                <w:sz w:val="18"/>
                <w:szCs w:val="18"/>
              </w:rPr>
              <w:t xml:space="preserve">v1 value</w:t>
            </w:r>
          </w:p>
        </w:tc>
        <w:tc>
          <w:tcPr>
            <w:tcW w:type="dxa" w:w="4360"/>
            <w:tcBorders>
              <w:top w:val="single" w:color="1A2332" w:sz="1"/>
              <w:left w:val="single" w:color="1A2332" w:sz="1"/>
              <w:bottom w:val="single" w:color="1A2332" w:sz="1"/>
              <w:right w:val="single" w:color="1A2332" w:sz="1"/>
            </w:tcBorders>
            <w:shd w:fill="1A2332" w:val="clear"/>
            <w:tcMar>
              <w:top w:type="dxa" w:w="120"/>
              <w:left w:type="dxa" w:w="140"/>
              <w:bottom w:type="dxa" w:w="120"/>
              <w:right w:type="dxa" w:w="140"/>
            </w:tcMar>
          </w:tcPr>
          <w:p>
            <w:r>
              <w:rPr>
                <w:rFonts w:ascii="Calibri" w:cs="Calibri" w:eastAsia="Calibri" w:hAnsi="Calibri"/>
                <w:b/>
                <w:bCs/>
                <w:color w:val="FFFFFF"/>
                <w:spacing w:val="20"/>
                <w:sz w:val="18"/>
                <w:szCs w:val="18"/>
              </w:rPr>
              <w:t xml:space="preserve">Notes</w:t>
            </w:r>
          </w:p>
        </w:tc>
      </w:tr>
      <w:tr>
        <w:tc>
          <w:tcPr>
            <w:tcW w:type="dxa" w:w="18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apiEndpoint</w:t>
            </w:r>
          </w:p>
        </w:tc>
        <w:tc>
          <w:tcPr>
            <w:tcW w:type="dxa" w:w="32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https://api.anthropic.com/v1/messages</w:t>
            </w:r>
          </w:p>
        </w:tc>
        <w:tc>
          <w:tcPr>
            <w:tcW w:type="dxa" w:w="436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Production should route through AIBI backend proxy</w:t>
            </w:r>
          </w:p>
        </w:tc>
      </w:tr>
      <w:tr>
        <w:tc>
          <w:tcPr>
            <w:tcW w:type="dxa" w:w="18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apiModel</w:t>
            </w:r>
          </w:p>
        </w:tc>
        <w:tc>
          <w:tcPr>
            <w:tcW w:type="dxa" w:w="32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claude-sonnet-4-20250514</w:t>
            </w:r>
          </w:p>
        </w:tc>
        <w:tc>
          <w:tcPr>
            <w:tcW w:type="dxa" w:w="436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Reviewed quarterly</w:t>
            </w:r>
          </w:p>
        </w:tc>
      </w:tr>
      <w:tr>
        <w:tc>
          <w:tcPr>
            <w:tcW w:type="dxa" w:w="18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maxTokens</w:t>
            </w:r>
          </w:p>
        </w:tc>
        <w:tc>
          <w:tcPr>
            <w:tcW w:type="dxa" w:w="32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8192</w:t>
            </w:r>
          </w:p>
        </w:tc>
        <w:tc>
          <w:tcPr>
            <w:tcW w:type="dxa" w:w="436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Sufficient for credit memos, board packages, exam prep</w:t>
            </w:r>
          </w:p>
        </w:tc>
      </w:tr>
      <w:tr>
        <w:tc>
          <w:tcPr>
            <w:tcW w:type="dxa" w:w="18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storageKey</w:t>
            </w:r>
          </w:p>
        </w:tc>
        <w:tc>
          <w:tcPr>
            <w:tcW w:type="dxa" w:w="32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aibi-toolbox-skills</w:t>
            </w:r>
          </w:p>
        </w:tc>
        <w:tc>
          <w:tcPr>
            <w:tcW w:type="dxa" w:w="436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Namespaced; future modules use distinct keys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3434" w:sz="4"/>
              <w:left w:val="single" w:color="9C3434" w:sz="24"/>
              <w:bottom w:val="single" w:color="9C3434" w:sz="4"/>
              <w:right w:val="single" w:color="ECE5D5" w:sz="1"/>
            </w:tcBorders>
            <w:shd w:fill="FBF8F1" w:val="clear"/>
            <w:tcMar>
              <w:top w:type="dxa" w:w="200"/>
              <w:left w:type="dxa" w:w="280"/>
              <w:bottom w:type="dxa" w:w="200"/>
              <w:right w:type="dxa" w:w="200"/>
            </w:tcMar>
          </w:tcPr>
          <w:p>
            <w:pPr>
              <w:spacing w:after="80"/>
            </w:pPr>
            <w:r>
              <w:rPr>
                <w:rFonts w:ascii="Calibri" w:cs="Calibri" w:eastAsia="Calibri" w:hAnsi="Calibri"/>
                <w:b/>
                <w:bCs/>
                <w:color w:val="9C3434"/>
                <w:spacing w:val="30"/>
                <w:sz w:val="18"/>
                <w:szCs w:val="18"/>
              </w:rPr>
              <w:t xml:space="preserve">PRODUCTION REQUIREMENT</w:t>
            </w:r>
          </w:p>
          <w:p>
            <w:pPr>
              <w:spacing w:after="0" w:line="300"/>
            </w:pPr>
            <w:r>
              <w:rPr>
                <w:rFonts w:ascii="Calibri" w:cs="Calibri" w:eastAsia="Calibri" w:hAnsi="Calibri"/>
                <w:i/>
                <w:iCs/>
                <w:color w:val="2D3B4D"/>
                <w:sz w:val="22"/>
                <w:szCs w:val="22"/>
              </w:rPr>
              <w:t xml:space="preserve">API keys MUST NOT be embedded client-side in the production deployment. The integration must route through an AIBI-controlled backend proxy that authenticates the user, applies rate limits, and tracks usage for billing.</w:t>
            </w:r>
          </w:p>
        </w:tc>
      </w:tr>
    </w:tbl>
    <w:p>
      <w:pPr>
        <w:pStyle w:val="Heading3"/>
        <w:spacing w:after="120" w:before="280"/>
      </w:pPr>
      <w:r>
        <w:rPr>
          <w:rFonts w:ascii="Calibri" w:cs="Calibri" w:eastAsia="Calibri" w:hAnsi="Calibri"/>
          <w:b/>
          <w:bCs/>
          <w:color w:val="1A2332"/>
          <w:sz w:val="24"/>
          <w:szCs w:val="24"/>
        </w:rPr>
        <w:t xml:space="preserve">System prompt construction</w:t>
      </w:r>
    </w:p>
    <w:p>
      <w:pPr>
        <w:spacing w:after="160" w:line="320"/>
      </w:pPr>
      <w:r>
        <w:rPr>
          <w:rFonts w:ascii="Calibri" w:cs="Calibri" w:eastAsia="Calibri" w:hAnsi="Calibri"/>
          <w:sz w:val="22"/>
          <w:szCs w:val="22"/>
        </w:rPr>
        <w:t xml:space="preserve">The buildSystemPrompt() function assembles a system prompt from skill metadata. The prompt has four major sections:</w:t>
      </w:r>
    </w:p>
    <w:p>
      <w:pPr>
        <w:pStyle w:val="ListParagraph"/>
        <w:numPr>
          <w:ilvl w:val="0"/>
          <w:numId w:val="3"/>
        </w:numPr>
        <w:spacing w:after="80" w:line="300"/>
      </w:pPr>
      <w:r>
        <w:rPr>
          <w:rFonts w:ascii="Calibri" w:cs="Calibri" w:eastAsia="Calibri" w:hAnsi="Calibri"/>
          <w:sz w:val="22"/>
          <w:szCs w:val="22"/>
        </w:rPr>
        <w:t xml:space="preserve">Skill identity. Name, trigger, department, purpose.</w:t>
      </w:r>
    </w:p>
    <w:p>
      <w:pPr>
        <w:pStyle w:val="ListParagraph"/>
        <w:numPr>
          <w:ilvl w:val="0"/>
          <w:numId w:val="3"/>
        </w:numPr>
        <w:spacing w:after="80" w:line="300"/>
      </w:pPr>
      <w:r>
        <w:rPr>
          <w:rFonts w:ascii="Calibri" w:cs="Calibri" w:eastAsia="Calibri" w:hAnsi="Calibri"/>
          <w:sz w:val="22"/>
          <w:szCs w:val="22"/>
        </w:rPr>
        <w:t xml:space="preserve">Workflow definition. Clarifying questions and step sequence.</w:t>
      </w:r>
    </w:p>
    <w:p>
      <w:pPr>
        <w:pStyle w:val="ListParagraph"/>
        <w:numPr>
          <w:ilvl w:val="0"/>
          <w:numId w:val="3"/>
        </w:numPr>
        <w:spacing w:after="80" w:line="300"/>
      </w:pPr>
      <w:r>
        <w:rPr>
          <w:rFonts w:ascii="Calibri" w:cs="Calibri" w:eastAsia="Calibri" w:hAnsi="Calibri"/>
          <w:sz w:val="22"/>
          <w:szCs w:val="22"/>
        </w:rPr>
        <w:t xml:space="preserve">Output specification. Format, tone, length.</w:t>
      </w:r>
    </w:p>
    <w:p>
      <w:pPr>
        <w:pStyle w:val="ListParagraph"/>
        <w:numPr>
          <w:ilvl w:val="0"/>
          <w:numId w:val="3"/>
        </w:numPr>
        <w:spacing w:after="80" w:line="300"/>
      </w:pPr>
      <w:r>
        <w:rPr>
          <w:rFonts w:ascii="Calibri" w:cs="Calibri" w:eastAsia="Calibri" w:hAnsi="Calibri"/>
          <w:sz w:val="22"/>
          <w:szCs w:val="22"/>
        </w:rPr>
        <w:t xml:space="preserve">Demo Mode instructions. Critical anti-hallucination rules and behavior boundaries.</w:t>
      </w:r>
    </w:p>
    <w:p>
      <w:pPr>
        <w:pStyle w:val="Heading3"/>
        <w:spacing w:after="120" w:before="280"/>
      </w:pPr>
      <w:r>
        <w:rPr>
          <w:rFonts w:ascii="Calibri" w:cs="Calibri" w:eastAsia="Calibri" w:hAnsi="Calibri"/>
          <w:b/>
          <w:bCs/>
          <w:color w:val="1A2332"/>
          <w:sz w:val="24"/>
          <w:szCs w:val="24"/>
        </w:rPr>
        <w:t xml:space="preserve">Anti-hallucination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24D" w:sz="4"/>
              <w:left w:val="single" w:color="B8924D" w:sz="24"/>
              <w:bottom w:val="single" w:color="B8924D" w:sz="4"/>
              <w:right w:val="single" w:color="ECE5D5" w:sz="1"/>
            </w:tcBorders>
            <w:shd w:fill="FBF8F1" w:val="clear"/>
            <w:tcMar>
              <w:top w:type="dxa" w:w="200"/>
              <w:left w:type="dxa" w:w="280"/>
              <w:bottom w:type="dxa" w:w="200"/>
              <w:right w:type="dxa" w:w="200"/>
            </w:tcMar>
          </w:tcPr>
          <w:p>
            <w:pPr>
              <w:spacing w:after="80"/>
            </w:pPr>
            <w:r>
              <w:rPr>
                <w:rFonts w:ascii="Calibri" w:cs="Calibri" w:eastAsia="Calibri" w:hAnsi="Calibri"/>
                <w:b/>
                <w:bCs/>
                <w:color w:val="B8924D"/>
                <w:spacing w:val="30"/>
                <w:sz w:val="18"/>
                <w:szCs w:val="18"/>
              </w:rPr>
              <w:t xml:space="preserve">REGULATORY DISCIPLINE</w:t>
            </w:r>
          </w:p>
          <w:p>
            <w:pPr>
              <w:spacing w:after="0" w:line="300"/>
            </w:pPr>
            <w:r>
              <w:rPr>
                <w:rFonts w:ascii="Calibri" w:cs="Calibri" w:eastAsia="Calibri" w:hAnsi="Calibri"/>
                <w:i/>
                <w:iCs/>
                <w:color w:val="2D3B4D"/>
                <w:sz w:val="22"/>
                <w:szCs w:val="22"/>
              </w:rPr>
              <w:t xml:space="preserve">Because this module teaches financial institutions to use AI responsibly in a regulated environment, hallucinated citations would contradict the entire lesson. The system prompt explicitly forbids fabrication of URLs, guidance letter numbers, court cases, contact details, examiner names beyond the scenario, and specific regulatory subsection numbers.</w:t>
            </w:r>
          </w:p>
        </w:tc>
      </w:tr>
    </w:tbl>
    <w:p>
      <w:pPr>
        <w:spacing w:after="160" w:line="320"/>
      </w:pPr>
      <w:r>
        <w:rPr>
          <w:rFonts w:ascii="Calibri" w:cs="Calibri" w:eastAsia="Calibri" w:hAnsi="Calibri"/>
          <w:sz w:val="22"/>
          <w:szCs w:val="22"/>
        </w:rPr>
        <w:t xml:space="preserve">Permitted in responses:</w:t>
      </w:r>
    </w:p>
    <w:p>
      <w:pPr>
        <w:pStyle w:val="ListParagraph"/>
        <w:numPr>
          <w:ilvl w:val="0"/>
          <w:numId w:val="2"/>
        </w:numPr>
        <w:spacing w:after="80" w:line="300"/>
      </w:pPr>
      <w:r>
        <w:rPr>
          <w:rFonts w:ascii="Calibri" w:cs="Calibri" w:eastAsia="Calibri" w:hAnsi="Calibri"/>
          <w:sz w:val="22"/>
          <w:szCs w:val="22"/>
        </w:rPr>
        <w:t xml:space="preserve">Real top-level regulation citations (12 CFR 1002, 12 CFR 1005, Dodd-Frank §1031, OCC 2013-29, FFIEC IT Handbook, etc.).</w:t>
      </w:r>
    </w:p>
    <w:p>
      <w:pPr>
        <w:pStyle w:val="ListParagraph"/>
        <w:numPr>
          <w:ilvl w:val="0"/>
          <w:numId w:val="2"/>
        </w:numPr>
        <w:spacing w:after="80" w:line="300"/>
      </w:pPr>
      <w:r>
        <w:rPr>
          <w:rFonts w:ascii="Calibri" w:cs="Calibri" w:eastAsia="Calibri" w:hAnsi="Calibri"/>
          <w:sz w:val="22"/>
          <w:szCs w:val="22"/>
        </w:rPr>
        <w:t xml:space="preserve">Specific citations provided in the scenario.</w:t>
      </w:r>
    </w:p>
    <w:p>
      <w:pPr>
        <w:pStyle w:val="ListParagraph"/>
        <w:numPr>
          <w:ilvl w:val="0"/>
          <w:numId w:val="2"/>
        </w:numPr>
        <w:spacing w:after="80" w:line="300"/>
      </w:pPr>
      <w:r>
        <w:rPr>
          <w:rFonts w:ascii="Calibri" w:cs="Calibri" w:eastAsia="Calibri" w:hAnsi="Calibri"/>
          <w:sz w:val="22"/>
          <w:szCs w:val="22"/>
        </w:rPr>
        <w:t xml:space="preserve">Plausible internal section numbers (e.g., "the institution's lending policy §4.2").</w:t>
      </w:r>
    </w:p>
    <w:p>
      <w:pPr>
        <w:pStyle w:val="ListParagraph"/>
        <w:numPr>
          <w:ilvl w:val="0"/>
          <w:numId w:val="2"/>
        </w:numPr>
        <w:spacing w:after="80" w:line="300"/>
      </w:pPr>
      <w:r>
        <w:rPr>
          <w:rFonts w:ascii="Calibri" w:cs="Calibri" w:eastAsia="Calibri" w:hAnsi="Calibri"/>
          <w:sz w:val="22"/>
          <w:szCs w:val="22"/>
        </w:rPr>
        <w:t xml:space="preserve">Professional placeholder language: "[link to be inserted]", "[examiner name to be confirmed]".</w:t>
      </w:r>
    </w:p>
    <w:p>
      <w:pPr>
        <w:spacing w:after="160" w:line="320"/>
      </w:pPr>
      <w:r>
        <w:rPr>
          <w:rFonts w:ascii="Calibri" w:cs="Calibri" w:eastAsia="Calibri" w:hAnsi="Calibri"/>
          <w:sz w:val="22"/>
          <w:szCs w:val="22"/>
        </w:rPr>
        <w:t xml:space="preserve">Forbidden in responses:</w:t>
      </w:r>
    </w:p>
    <w:p>
      <w:pPr>
        <w:pStyle w:val="ListParagraph"/>
        <w:numPr>
          <w:ilvl w:val="0"/>
          <w:numId w:val="2"/>
        </w:numPr>
        <w:spacing w:after="80" w:line="300"/>
      </w:pPr>
      <w:r>
        <w:rPr>
          <w:rFonts w:ascii="Calibri" w:cs="Calibri" w:eastAsia="Calibri" w:hAnsi="Calibri"/>
          <w:sz w:val="22"/>
          <w:szCs w:val="22"/>
        </w:rPr>
        <w:t xml:space="preserve">Invented URLs to regulator websites, internal pages, or vendor sites.</w:t>
      </w:r>
    </w:p>
    <w:p>
      <w:pPr>
        <w:pStyle w:val="ListParagraph"/>
        <w:numPr>
          <w:ilvl w:val="0"/>
          <w:numId w:val="2"/>
        </w:numPr>
        <w:spacing w:after="80" w:line="300"/>
      </w:pPr>
      <w:r>
        <w:rPr>
          <w:rFonts w:ascii="Calibri" w:cs="Calibri" w:eastAsia="Calibri" w:hAnsi="Calibri"/>
          <w:sz w:val="22"/>
          <w:szCs w:val="22"/>
        </w:rPr>
        <w:t xml:space="preserve">Fabricated guidance letter numbers, bulletin IDs, document IDs.</w:t>
      </w:r>
    </w:p>
    <w:p>
      <w:pPr>
        <w:pStyle w:val="ListParagraph"/>
        <w:numPr>
          <w:ilvl w:val="0"/>
          <w:numId w:val="2"/>
        </w:numPr>
        <w:spacing w:after="80" w:line="300"/>
      </w:pPr>
      <w:r>
        <w:rPr>
          <w:rFonts w:ascii="Calibri" w:cs="Calibri" w:eastAsia="Calibri" w:hAnsi="Calibri"/>
          <w:sz w:val="22"/>
          <w:szCs w:val="22"/>
        </w:rPr>
        <w:t xml:space="preserve">Fabricated court cases, legal opinions, contact details, examiner names.</w:t>
      </w:r>
    </w:p>
    <w:p>
      <w:pPr>
        <w:pStyle w:val="ListParagraph"/>
        <w:numPr>
          <w:ilvl w:val="0"/>
          <w:numId w:val="2"/>
        </w:numPr>
        <w:spacing w:after="80" w:line="300"/>
      </w:pPr>
      <w:r>
        <w:rPr>
          <w:rFonts w:ascii="Calibri" w:cs="Calibri" w:eastAsia="Calibri" w:hAnsi="Calibri"/>
          <w:sz w:val="22"/>
          <w:szCs w:val="22"/>
        </w:rPr>
        <w:t xml:space="preserve">`[DATA REQUIRED]`, `[TBD]`, `[PLACEHOLDER]` floods that defeat the demo's purpose (these are not the same as legitimate citation placeholders above).</w:t>
      </w:r>
    </w:p>
    <w:p>
      <w:pPr>
        <w:pStyle w:val="Heading2"/>
        <w:spacing w:after="160" w:before="360"/>
      </w:pPr>
      <w:r>
        <w:rPr>
          <w:rFonts w:ascii="Calibri" w:cs="Calibri" w:eastAsia="Calibri" w:hAnsi="Calibri"/>
          <w:b/>
          <w:bCs/>
          <w:color w:val="7A2A38"/>
          <w:sz w:val="28"/>
          <w:szCs w:val="28"/>
        </w:rPr>
        <w:t xml:space="preserve">6.4 Pre-loaded scenarios</w:t>
      </w:r>
    </w:p>
    <w:p>
      <w:pPr>
        <w:spacing w:after="160" w:line="320"/>
      </w:pPr>
      <w:r>
        <w:rPr>
          <w:rFonts w:ascii="Calibri" w:cs="Calibri" w:eastAsia="Calibri" w:hAnsi="Calibri"/>
          <w:sz w:val="22"/>
          <w:szCs w:val="22"/>
        </w:rPr>
        <w:t xml:space="preserve">Each Cookbook skill ships with two fully-fabricated scenarios. A scenario front-loads every clarifying question the skill normally asks, enabling Claude to skip the interview phase and produce the actual deliverable on the first turn.</w:t>
      </w:r>
    </w:p>
    <w:p>
      <w:pPr>
        <w:pStyle w:val="Heading3"/>
        <w:spacing w:after="120" w:before="280"/>
      </w:pPr>
      <w:r>
        <w:rPr>
          <w:rFonts w:ascii="Calibri" w:cs="Calibri" w:eastAsia="Calibri" w:hAnsi="Calibri"/>
          <w:b/>
          <w:bCs/>
          <w:color w:val="1A2332"/>
          <w:sz w:val="24"/>
          <w:szCs w:val="24"/>
        </w:rPr>
        <w:t xml:space="preserve">Scenario data shape</w:t>
      </w:r>
    </w:p>
    <w:p>
      <w:pPr>
        <w:spacing w:after="160" w:line="320"/>
      </w:pPr>
      <w:r>
        <w:rPr>
          <w:rFonts w:ascii="Calibri" w:cs="Calibri" w:eastAsia="Calibri" w:hAnsi="Calibri"/>
          <w:sz w:val="22"/>
          <w:szCs w:val="22"/>
        </w:rPr>
        <w:t xml:space="preserve">Each scenario is an object: { title: string, prompt: string }.</w:t>
      </w:r>
    </w:p>
    <w:p>
      <w:pPr>
        <w:pStyle w:val="ListParagraph"/>
        <w:numPr>
          <w:ilvl w:val="0"/>
          <w:numId w:val="2"/>
        </w:numPr>
        <w:spacing w:after="80" w:line="300"/>
      </w:pPr>
      <w:r>
        <w:rPr>
          <w:rFonts w:ascii="Calibri" w:cs="Calibri" w:eastAsia="Calibri" w:hAnsi="Calibri"/>
          <w:sz w:val="22"/>
          <w:szCs w:val="22"/>
        </w:rPr>
        <w:t xml:space="preserve">title — short label rendered on the chip (3–6 words; appears in the UI).</w:t>
      </w:r>
    </w:p>
    <w:p>
      <w:pPr>
        <w:pStyle w:val="ListParagraph"/>
        <w:numPr>
          <w:ilvl w:val="0"/>
          <w:numId w:val="2"/>
        </w:numPr>
        <w:spacing w:after="80" w:line="300"/>
      </w:pPr>
      <w:r>
        <w:rPr>
          <w:rFonts w:ascii="Calibri" w:cs="Calibri" w:eastAsia="Calibri" w:hAnsi="Calibri"/>
          <w:sz w:val="22"/>
          <w:szCs w:val="22"/>
        </w:rPr>
        <w:t xml:space="preserve">prompt — the full multi-line scenario loaded into the input on click.</w:t>
      </w:r>
    </w:p>
    <w:p>
      <w:pPr>
        <w:pStyle w:val="Heading3"/>
        <w:spacing w:after="120" w:before="280"/>
      </w:pPr>
      <w:r>
        <w:rPr>
          <w:rFonts w:ascii="Calibri" w:cs="Calibri" w:eastAsia="Calibri" w:hAnsi="Calibri"/>
          <w:b/>
          <w:bCs/>
          <w:color w:val="1A2332"/>
          <w:sz w:val="24"/>
          <w:szCs w:val="24"/>
        </w:rPr>
        <w:t xml:space="preserve">Auto-load behavior</w:t>
      </w:r>
    </w:p>
    <w:p>
      <w:pPr>
        <w:pStyle w:val="ListParagraph"/>
        <w:numPr>
          <w:ilvl w:val="0"/>
          <w:numId w:val="3"/>
        </w:numPr>
        <w:spacing w:after="80" w:line="300"/>
      </w:pPr>
      <w:r>
        <w:rPr>
          <w:rFonts w:ascii="Calibri" w:cs="Calibri" w:eastAsia="Calibri" w:hAnsi="Calibri"/>
          <w:sz w:val="22"/>
          <w:szCs w:val="22"/>
        </w:rPr>
        <w:t xml:space="preserve">On skill load into Playground, the first scenario auto-populates the input.</w:t>
      </w:r>
    </w:p>
    <w:p>
      <w:pPr>
        <w:pStyle w:val="ListParagraph"/>
        <w:numPr>
          <w:ilvl w:val="0"/>
          <w:numId w:val="3"/>
        </w:numPr>
        <w:spacing w:after="80" w:line="300"/>
      </w:pPr>
      <w:r>
        <w:rPr>
          <w:rFonts w:ascii="Calibri" w:cs="Calibri" w:eastAsia="Calibri" w:hAnsi="Calibri"/>
          <w:sz w:val="22"/>
          <w:szCs w:val="22"/>
        </w:rPr>
        <w:t xml:space="preserve">That scenario's chip is highlighted in burgundy with white text.</w:t>
      </w:r>
    </w:p>
    <w:p>
      <w:pPr>
        <w:pStyle w:val="ListParagraph"/>
        <w:numPr>
          <w:ilvl w:val="0"/>
          <w:numId w:val="3"/>
        </w:numPr>
        <w:spacing w:after="80" w:line="300"/>
      </w:pPr>
      <w:r>
        <w:rPr>
          <w:rFonts w:ascii="Calibri" w:cs="Calibri" w:eastAsia="Calibri" w:hAnsi="Calibri"/>
          <w:sz w:val="22"/>
          <w:szCs w:val="22"/>
        </w:rPr>
        <w:t xml:space="preserve">Clicking another chip swaps the input content and moves the highlight.</w:t>
      </w:r>
    </w:p>
    <w:p>
      <w:pPr>
        <w:pStyle w:val="ListParagraph"/>
        <w:numPr>
          <w:ilvl w:val="0"/>
          <w:numId w:val="3"/>
        </w:numPr>
        <w:spacing w:after="80" w:line="300"/>
      </w:pPr>
      <w:r>
        <w:rPr>
          <w:rFonts w:ascii="Calibri" w:cs="Calibri" w:eastAsia="Calibri" w:hAnsi="Calibri"/>
          <w:sz w:val="22"/>
          <w:szCs w:val="22"/>
        </w:rPr>
        <w:t xml:space="preserve">The user can clear and type a custom prompt at any time.</w:t>
      </w:r>
    </w:p>
    <w:p>
      <w:pPr>
        <w:pStyle w:val="Heading3"/>
        <w:spacing w:after="120" w:before="280"/>
      </w:pPr>
      <w:r>
        <w:rPr>
          <w:rFonts w:ascii="Calibri" w:cs="Calibri" w:eastAsia="Calibri" w:hAnsi="Calibri"/>
          <w:b/>
          <w:bCs/>
          <w:color w:val="1A2332"/>
          <w:sz w:val="24"/>
          <w:szCs w:val="24"/>
        </w:rPr>
        <w:t xml:space="preserve">Scenario authoring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24D" w:sz="4"/>
              <w:left w:val="single" w:color="B8924D" w:sz="24"/>
              <w:bottom w:val="single" w:color="B8924D" w:sz="4"/>
              <w:right w:val="single" w:color="ECE5D5" w:sz="1"/>
            </w:tcBorders>
            <w:shd w:fill="FBF8F1" w:val="clear"/>
            <w:tcMar>
              <w:top w:type="dxa" w:w="200"/>
              <w:left w:type="dxa" w:w="280"/>
              <w:bottom w:type="dxa" w:w="200"/>
              <w:right w:type="dxa" w:w="200"/>
            </w:tcMar>
          </w:tcPr>
          <w:p>
            <w:pPr>
              <w:spacing w:after="80"/>
            </w:pPr>
            <w:r>
              <w:rPr>
                <w:rFonts w:ascii="Calibri" w:cs="Calibri" w:eastAsia="Calibri" w:hAnsi="Calibri"/>
                <w:b/>
                <w:bCs/>
                <w:color w:val="B8924D"/>
                <w:spacing w:val="30"/>
                <w:sz w:val="18"/>
                <w:szCs w:val="18"/>
              </w:rPr>
              <w:t xml:space="preserve">AUTHORING DISCIPLINE</w:t>
            </w:r>
          </w:p>
          <w:p>
            <w:pPr>
              <w:spacing w:after="0" w:line="300"/>
            </w:pPr>
            <w:r>
              <w:rPr>
                <w:rFonts w:ascii="Calibri" w:cs="Calibri" w:eastAsia="Calibri" w:hAnsi="Calibri"/>
                <w:i/>
                <w:iCs/>
                <w:color w:val="2D3B4D"/>
                <w:sz w:val="22"/>
                <w:szCs w:val="22"/>
              </w:rPr>
              <w:t xml:space="preserve">Scenarios must use fabricated names, fabricated dollar amounts, and fabricated identifiers — but they must NOT contain fabricated URLs, fabricated guidance numbers, or other elements that would imply real-world facts. Source links should be marked "[provided in agency notification]" or similar placeholder text.</w:t>
            </w:r>
          </w:p>
        </w:tc>
      </w:tr>
    </w:tbl>
    <w:p>
      <w:pPr>
        <w:pStyle w:val="Heading2"/>
        <w:spacing w:after="160" w:before="360"/>
      </w:pPr>
      <w:r>
        <w:rPr>
          <w:rFonts w:ascii="Calibri" w:cs="Calibri" w:eastAsia="Calibri" w:hAnsi="Calibri"/>
          <w:b/>
          <w:bCs/>
          <w:color w:val="7A2A38"/>
          <w:sz w:val="28"/>
          <w:szCs w:val="28"/>
        </w:rPr>
        <w:t xml:space="preserve">6.5 Skill side panel</w:t>
      </w:r>
    </w:p>
    <w:p>
      <w:pPr>
        <w:spacing w:after="160" w:line="320"/>
      </w:pPr>
      <w:r>
        <w:rPr>
          <w:rFonts w:ascii="Calibri" w:cs="Calibri" w:eastAsia="Calibri" w:hAnsi="Calibri"/>
          <w:sz w:val="22"/>
          <w:szCs w:val="22"/>
        </w:rPr>
        <w:t xml:space="preserve">The left aside displays the active skill's summary and provides four primary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1A2332" w:sz="1"/>
              <w:left w:val="single" w:color="1A2332" w:sz="1"/>
              <w:bottom w:val="single" w:color="1A2332" w:sz="1"/>
              <w:right w:val="single" w:color="1A2332" w:sz="1"/>
            </w:tcBorders>
            <w:shd w:fill="1A2332" w:val="clear"/>
            <w:tcMar>
              <w:top w:type="dxa" w:w="120"/>
              <w:left w:type="dxa" w:w="140"/>
              <w:bottom w:type="dxa" w:w="120"/>
              <w:right w:type="dxa" w:w="140"/>
            </w:tcMar>
          </w:tcPr>
          <w:p>
            <w:r>
              <w:rPr>
                <w:rFonts w:ascii="Calibri" w:cs="Calibri" w:eastAsia="Calibri" w:hAnsi="Calibri"/>
                <w:b/>
                <w:bCs/>
                <w:color w:val="FFFFFF"/>
                <w:spacing w:val="20"/>
                <w:sz w:val="18"/>
                <w:szCs w:val="18"/>
              </w:rPr>
              <w:t xml:space="preserve">Action</w:t>
            </w:r>
          </w:p>
        </w:tc>
        <w:tc>
          <w:tcPr>
            <w:tcW w:type="dxa" w:w="3600"/>
            <w:tcBorders>
              <w:top w:val="single" w:color="1A2332" w:sz="1"/>
              <w:left w:val="single" w:color="1A2332" w:sz="1"/>
              <w:bottom w:val="single" w:color="1A2332" w:sz="1"/>
              <w:right w:val="single" w:color="1A2332" w:sz="1"/>
            </w:tcBorders>
            <w:shd w:fill="1A2332" w:val="clear"/>
            <w:tcMar>
              <w:top w:type="dxa" w:w="120"/>
              <w:left w:type="dxa" w:w="140"/>
              <w:bottom w:type="dxa" w:w="120"/>
              <w:right w:type="dxa" w:w="140"/>
            </w:tcMar>
          </w:tcPr>
          <w:p>
            <w:r>
              <w:rPr>
                <w:rFonts w:ascii="Calibri" w:cs="Calibri" w:eastAsia="Calibri" w:hAnsi="Calibri"/>
                <w:b/>
                <w:bCs/>
                <w:color w:val="FFFFFF"/>
                <w:spacing w:val="20"/>
                <w:sz w:val="18"/>
                <w:szCs w:val="18"/>
              </w:rPr>
              <w:t xml:space="preserve">Behavior</w:t>
            </w:r>
          </w:p>
        </w:tc>
        <w:tc>
          <w:tcPr>
            <w:tcW w:type="dxa" w:w="3560"/>
            <w:tcBorders>
              <w:top w:val="single" w:color="1A2332" w:sz="1"/>
              <w:left w:val="single" w:color="1A2332" w:sz="1"/>
              <w:bottom w:val="single" w:color="1A2332" w:sz="1"/>
              <w:right w:val="single" w:color="1A2332" w:sz="1"/>
            </w:tcBorders>
            <w:shd w:fill="1A2332" w:val="clear"/>
            <w:tcMar>
              <w:top w:type="dxa" w:w="120"/>
              <w:left w:type="dxa" w:w="140"/>
              <w:bottom w:type="dxa" w:w="120"/>
              <w:right w:type="dxa" w:w="140"/>
            </w:tcMar>
          </w:tcPr>
          <w:p>
            <w:r>
              <w:rPr>
                <w:rFonts w:ascii="Calibri" w:cs="Calibri" w:eastAsia="Calibri" w:hAnsi="Calibri"/>
                <w:b/>
                <w:bCs/>
                <w:color w:val="FFFFFF"/>
                <w:spacing w:val="20"/>
                <w:sz w:val="18"/>
                <w:szCs w:val="18"/>
              </w:rPr>
              <w:t xml:space="preserve">Use case</w:t>
            </w:r>
          </w:p>
        </w:tc>
      </w:tr>
      <w:tr>
        <w:tc>
          <w:tcPr>
            <w:tcW w:type="dxa" w:w="22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Save to Toolbox</w:t>
            </w:r>
          </w:p>
        </w:tc>
        <w:tc>
          <w:tcPr>
            <w:tcW w:type="dxa" w:w="36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Persists active skill to storage. Updates UI to show ✓ Saved.</w:t>
            </w:r>
          </w:p>
        </w:tc>
        <w:tc>
          <w:tcPr>
            <w:tcW w:type="dxa" w:w="356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After testing demonstrates skill works as intended</w:t>
            </w:r>
          </w:p>
        </w:tc>
      </w:tr>
      <w:tr>
        <w:tc>
          <w:tcPr>
            <w:tcW w:type="dxa" w:w="22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Edit in Builder</w:t>
            </w:r>
          </w:p>
        </w:tc>
        <w:tc>
          <w:tcPr>
            <w:tcW w:type="dxa" w:w="36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Loads active skill into the wizard.</w:t>
            </w:r>
          </w:p>
        </w:tc>
        <w:tc>
          <w:tcPr>
            <w:tcW w:type="dxa" w:w="356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Iterating on skill structure</w:t>
            </w:r>
          </w:p>
        </w:tc>
      </w:tr>
      <w:tr>
        <w:tc>
          <w:tcPr>
            <w:tcW w:type="dxa" w:w="22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Download .md</w:t>
            </w:r>
          </w:p>
        </w:tc>
        <w:tc>
          <w:tcPr>
            <w:tcW w:type="dxa" w:w="36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Downloads skill as Markdown file via Blob/anchor pattern.</w:t>
            </w:r>
          </w:p>
        </w:tc>
        <w:tc>
          <w:tcPr>
            <w:tcW w:type="dxa" w:w="356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Adding to institution's GitHub repo</w:t>
            </w:r>
          </w:p>
        </w:tc>
      </w:tr>
      <w:tr>
        <w:tc>
          <w:tcPr>
            <w:tcW w:type="dxa" w:w="22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Copy for GitHub</w:t>
            </w:r>
          </w:p>
        </w:tc>
        <w:tc>
          <w:tcPr>
            <w:tcW w:type="dxa" w:w="36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Copies skill .md text to clipboard via robust fallback.</w:t>
            </w:r>
          </w:p>
        </w:tc>
        <w:tc>
          <w:tcPr>
            <w:tcW w:type="dxa" w:w="356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Pasting into a repo or document</w:t>
            </w:r>
          </w:p>
        </w:tc>
      </w:tr>
    </w:tbl>
    <w:p>
      <w:pPr>
        <w:pStyle w:val="Heading2"/>
        <w:spacing w:after="160" w:before="360"/>
      </w:pPr>
      <w:r>
        <w:rPr>
          <w:rFonts w:ascii="Calibri" w:cs="Calibri" w:eastAsia="Calibri" w:hAnsi="Calibri"/>
          <w:b/>
          <w:bCs/>
          <w:color w:val="7A2A38"/>
          <w:sz w:val="28"/>
          <w:szCs w:val="28"/>
        </w:rPr>
        <w:t xml:space="preserve">6.6 Playground non-functional requirements</w:t>
      </w:r>
    </w:p>
    <w:p>
      <w:pPr>
        <w:pStyle w:val="ListParagraph"/>
        <w:numPr>
          <w:ilvl w:val="0"/>
          <w:numId w:val="2"/>
        </w:numPr>
        <w:spacing w:after="80" w:line="300"/>
      </w:pPr>
      <w:r>
        <w:rPr>
          <w:rFonts w:ascii="Calibri" w:cs="Calibri" w:eastAsia="Calibri" w:hAnsi="Calibri"/>
          <w:sz w:val="22"/>
          <w:szCs w:val="22"/>
        </w:rPr>
        <w:t xml:space="preserve">Response time: API call returns within 15 seconds for 95% of scenarios at maxTokens 8192.</w:t>
      </w:r>
    </w:p>
    <w:p>
      <w:pPr>
        <w:pStyle w:val="ListParagraph"/>
        <w:numPr>
          <w:ilvl w:val="0"/>
          <w:numId w:val="2"/>
        </w:numPr>
        <w:spacing w:after="80" w:line="300"/>
      </w:pPr>
      <w:r>
        <w:rPr>
          <w:rFonts w:ascii="Calibri" w:cs="Calibri" w:eastAsia="Calibri" w:hAnsi="Calibri"/>
          <w:sz w:val="22"/>
          <w:szCs w:val="22"/>
        </w:rPr>
        <w:t xml:space="preserve">Accessibility: Conversation thread keyboard-navigable; Enter sends, Shift+Enter inserts newline.</w:t>
      </w:r>
    </w:p>
    <w:p>
      <w:pPr>
        <w:pStyle w:val="ListParagraph"/>
        <w:numPr>
          <w:ilvl w:val="0"/>
          <w:numId w:val="2"/>
        </w:numPr>
        <w:spacing w:after="80" w:line="300"/>
      </w:pPr>
      <w:r>
        <w:rPr>
          <w:rFonts w:ascii="Calibri" w:cs="Calibri" w:eastAsia="Calibri" w:hAnsi="Calibri"/>
          <w:sz w:val="22"/>
          <w:szCs w:val="22"/>
        </w:rPr>
        <w:t xml:space="preserve">Error resilience: Network failures display a clear inline error; user can retry without losing context.</w:t>
      </w:r>
    </w:p>
    <w:p>
      <w:pPr>
        <w:pStyle w:val="ListParagraph"/>
        <w:numPr>
          <w:ilvl w:val="0"/>
          <w:numId w:val="2"/>
        </w:numPr>
        <w:spacing w:after="80" w:line="300"/>
      </w:pPr>
      <w:r>
        <w:rPr>
          <w:rFonts w:ascii="Calibri" w:cs="Calibri" w:eastAsia="Calibri" w:hAnsi="Calibri"/>
          <w:sz w:val="22"/>
          <w:szCs w:val="22"/>
        </w:rPr>
        <w:t xml:space="preserve">Browser compatibility: Chromium, Firefox, Safari (latest two versions of each).</w:t>
      </w:r>
    </w:p>
    <w:p>
      <w:pPr>
        <w:pStyle w:val="Heading1"/>
        <w:pageBreakBefore/>
        <w:spacing w:after="240" w:before="480"/>
      </w:pPr>
      <w:r>
        <w:rPr>
          <w:rFonts w:ascii="Calibri" w:cs="Calibri" w:eastAsia="Calibri" w:hAnsi="Calibri"/>
          <w:b/>
          <w:bCs/>
          <w:color w:val="1A2332"/>
          <w:sz w:val="36"/>
          <w:szCs w:val="36"/>
        </w:rPr>
        <w:t xml:space="preserve">7. Toolbox — Detailed Requirements</w:t>
      </w:r>
    </w:p>
    <w:p>
      <w:pPr>
        <w:spacing w:after="160" w:line="320"/>
      </w:pPr>
      <w:r>
        <w:rPr>
          <w:rFonts w:ascii="Calibri" w:cs="Calibri" w:eastAsia="Calibri" w:hAnsi="Calibri"/>
          <w:sz w:val="22"/>
          <w:szCs w:val="22"/>
        </w:rPr>
        <w:t xml:space="preserve">The Toolbox is the module's persistence layer. It transforms ephemeral Playground experimentation into a personal library of working AI workflows.</w:t>
      </w:r>
    </w:p>
    <w:p>
      <w:pPr>
        <w:pStyle w:val="Heading2"/>
        <w:spacing w:after="160" w:before="360"/>
      </w:pPr>
      <w:r>
        <w:rPr>
          <w:rFonts w:ascii="Calibri" w:cs="Calibri" w:eastAsia="Calibri" w:hAnsi="Calibri"/>
          <w:b/>
          <w:bCs/>
          <w:color w:val="7A2A38"/>
          <w:sz w:val="28"/>
          <w:szCs w:val="28"/>
        </w:rPr>
        <w:t xml:space="preserve">7.1 Storage architecture</w:t>
      </w:r>
    </w:p>
    <w:p>
      <w:pPr>
        <w:pStyle w:val="Heading3"/>
        <w:spacing w:after="120" w:before="280"/>
      </w:pPr>
      <w:r>
        <w:rPr>
          <w:rFonts w:ascii="Calibri" w:cs="Calibri" w:eastAsia="Calibri" w:hAnsi="Calibri"/>
          <w:b/>
          <w:bCs/>
          <w:color w:val="1A2332"/>
          <w:sz w:val="24"/>
          <w:szCs w:val="24"/>
        </w:rPr>
        <w:t xml:space="preserve">Three-tier abstraction</w:t>
      </w:r>
    </w:p>
    <w:p>
      <w:pPr>
        <w:spacing w:after="160" w:line="320"/>
      </w:pPr>
      <w:r>
        <w:rPr>
          <w:rFonts w:ascii="Calibri" w:cs="Calibri" w:eastAsia="Calibri" w:hAnsi="Calibri"/>
          <w:sz w:val="22"/>
          <w:szCs w:val="22"/>
        </w:rPr>
        <w:t xml:space="preserve">The Storage object probes its environment on init and selects the highest-fidelity persistence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360"/>
        <w:gridCol w:w="3200"/>
      </w:tblGrid>
      <w:tr>
        <w:trPr>
          <w:tblHeader/>
        </w:trPr>
        <w:tc>
          <w:tcPr>
            <w:tcW w:type="dxa" w:w="600"/>
            <w:tcBorders>
              <w:top w:val="single" w:color="1A2332" w:sz="1"/>
              <w:left w:val="single" w:color="1A2332" w:sz="1"/>
              <w:bottom w:val="single" w:color="1A2332" w:sz="1"/>
              <w:right w:val="single" w:color="1A2332" w:sz="1"/>
            </w:tcBorders>
            <w:shd w:fill="1A2332" w:val="clear"/>
            <w:tcMar>
              <w:top w:type="dxa" w:w="120"/>
              <w:left w:type="dxa" w:w="140"/>
              <w:bottom w:type="dxa" w:w="120"/>
              <w:right w:type="dxa" w:w="140"/>
            </w:tcMar>
          </w:tcPr>
          <w:p>
            <w:r>
              <w:rPr>
                <w:rFonts w:ascii="Calibri" w:cs="Calibri" w:eastAsia="Calibri" w:hAnsi="Calibri"/>
                <w:b/>
                <w:bCs/>
                <w:color w:val="FFFFFF"/>
                <w:spacing w:val="20"/>
                <w:sz w:val="18"/>
                <w:szCs w:val="18"/>
              </w:rPr>
              <w:t xml:space="preserve">Tier</w:t>
            </w:r>
          </w:p>
        </w:tc>
        <w:tc>
          <w:tcPr>
            <w:tcW w:type="dxa" w:w="2200"/>
            <w:tcBorders>
              <w:top w:val="single" w:color="1A2332" w:sz="1"/>
              <w:left w:val="single" w:color="1A2332" w:sz="1"/>
              <w:bottom w:val="single" w:color="1A2332" w:sz="1"/>
              <w:right w:val="single" w:color="1A2332" w:sz="1"/>
            </w:tcBorders>
            <w:shd w:fill="1A2332" w:val="clear"/>
            <w:tcMar>
              <w:top w:type="dxa" w:w="120"/>
              <w:left w:type="dxa" w:w="140"/>
              <w:bottom w:type="dxa" w:w="120"/>
              <w:right w:type="dxa" w:w="140"/>
            </w:tcMar>
          </w:tcPr>
          <w:p>
            <w:r>
              <w:rPr>
                <w:rFonts w:ascii="Calibri" w:cs="Calibri" w:eastAsia="Calibri" w:hAnsi="Calibri"/>
                <w:b/>
                <w:bCs/>
                <w:color w:val="FFFFFF"/>
                <w:spacing w:val="20"/>
                <w:sz w:val="18"/>
                <w:szCs w:val="18"/>
              </w:rPr>
              <w:t xml:space="preserve">Mechanism</w:t>
            </w:r>
          </w:p>
        </w:tc>
        <w:tc>
          <w:tcPr>
            <w:tcW w:type="dxa" w:w="3360"/>
            <w:tcBorders>
              <w:top w:val="single" w:color="1A2332" w:sz="1"/>
              <w:left w:val="single" w:color="1A2332" w:sz="1"/>
              <w:bottom w:val="single" w:color="1A2332" w:sz="1"/>
              <w:right w:val="single" w:color="1A2332" w:sz="1"/>
            </w:tcBorders>
            <w:shd w:fill="1A2332" w:val="clear"/>
            <w:tcMar>
              <w:top w:type="dxa" w:w="120"/>
              <w:left w:type="dxa" w:w="140"/>
              <w:bottom w:type="dxa" w:w="120"/>
              <w:right w:type="dxa" w:w="140"/>
            </w:tcMar>
          </w:tcPr>
          <w:p>
            <w:r>
              <w:rPr>
                <w:rFonts w:ascii="Calibri" w:cs="Calibri" w:eastAsia="Calibri" w:hAnsi="Calibri"/>
                <w:b/>
                <w:bCs/>
                <w:color w:val="FFFFFF"/>
                <w:spacing w:val="20"/>
                <w:sz w:val="18"/>
                <w:szCs w:val="18"/>
              </w:rPr>
              <w:t xml:space="preserve">Where used</w:t>
            </w:r>
          </w:p>
        </w:tc>
        <w:tc>
          <w:tcPr>
            <w:tcW w:type="dxa" w:w="3200"/>
            <w:tcBorders>
              <w:top w:val="single" w:color="1A2332" w:sz="1"/>
              <w:left w:val="single" w:color="1A2332" w:sz="1"/>
              <w:bottom w:val="single" w:color="1A2332" w:sz="1"/>
              <w:right w:val="single" w:color="1A2332" w:sz="1"/>
            </w:tcBorders>
            <w:shd w:fill="1A2332" w:val="clear"/>
            <w:tcMar>
              <w:top w:type="dxa" w:w="120"/>
              <w:left w:type="dxa" w:w="140"/>
              <w:bottom w:type="dxa" w:w="120"/>
              <w:right w:type="dxa" w:w="140"/>
            </w:tcMar>
          </w:tcPr>
          <w:p>
            <w:r>
              <w:rPr>
                <w:rFonts w:ascii="Calibri" w:cs="Calibri" w:eastAsia="Calibri" w:hAnsi="Calibri"/>
                <w:b/>
                <w:bCs/>
                <w:color w:val="FFFFFF"/>
                <w:spacing w:val="20"/>
                <w:sz w:val="18"/>
                <w:szCs w:val="18"/>
              </w:rPr>
              <w:t xml:space="preserve">Persistence scope</w:t>
            </w:r>
          </w:p>
        </w:tc>
      </w:tr>
      <w:tr>
        <w:tc>
          <w:tcPr>
            <w:tcW w:type="dxa" w:w="6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1</w:t>
            </w:r>
          </w:p>
        </w:tc>
        <w:tc>
          <w:tcPr>
            <w:tcW w:type="dxa" w:w="22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window.storage</w:t>
            </w:r>
          </w:p>
        </w:tc>
        <w:tc>
          <w:tcPr>
            <w:tcW w:type="dxa" w:w="336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Anthropic artifact runtime</w:t>
            </w:r>
          </w:p>
        </w:tc>
        <w:tc>
          <w:tcPr>
            <w:tcW w:type="dxa" w:w="32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Across artifact sessions</w:t>
            </w:r>
          </w:p>
        </w:tc>
      </w:tr>
      <w:tr>
        <w:tc>
          <w:tcPr>
            <w:tcW w:type="dxa" w:w="6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2</w:t>
            </w:r>
          </w:p>
        </w:tc>
        <w:tc>
          <w:tcPr>
            <w:tcW w:type="dxa" w:w="22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localStorage</w:t>
            </w:r>
          </w:p>
        </w:tc>
        <w:tc>
          <w:tcPr>
            <w:tcW w:type="dxa" w:w="336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AIBI LMS deployment / standalone</w:t>
            </w:r>
          </w:p>
        </w:tc>
        <w:tc>
          <w:tcPr>
            <w:tcW w:type="dxa" w:w="32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Per browser, per device</w:t>
            </w:r>
          </w:p>
        </w:tc>
      </w:tr>
      <w:tr>
        <w:tc>
          <w:tcPr>
            <w:tcW w:type="dxa" w:w="6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3</w:t>
            </w:r>
          </w:p>
        </w:tc>
        <w:tc>
          <w:tcPr>
            <w:tcW w:type="dxa" w:w="22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in-memory</w:t>
            </w:r>
          </w:p>
        </w:tc>
        <w:tc>
          <w:tcPr>
            <w:tcW w:type="dxa" w:w="336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Last-resort fallback</w:t>
            </w:r>
          </w:p>
        </w:tc>
        <w:tc>
          <w:tcPr>
            <w:tcW w:type="dxa" w:w="32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Current session 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24D" w:sz="4"/>
              <w:left w:val="single" w:color="B8924D" w:sz="24"/>
              <w:bottom w:val="single" w:color="B8924D" w:sz="4"/>
              <w:right w:val="single" w:color="ECE5D5" w:sz="1"/>
            </w:tcBorders>
            <w:shd w:fill="FBF8F1" w:val="clear"/>
            <w:tcMar>
              <w:top w:type="dxa" w:w="200"/>
              <w:left w:type="dxa" w:w="280"/>
              <w:bottom w:type="dxa" w:w="200"/>
              <w:right w:type="dxa" w:w="200"/>
            </w:tcMar>
          </w:tcPr>
          <w:p>
            <w:pPr>
              <w:spacing w:after="80"/>
            </w:pPr>
            <w:r>
              <w:rPr>
                <w:rFonts w:ascii="Calibri" w:cs="Calibri" w:eastAsia="Calibri" w:hAnsi="Calibri"/>
                <w:b/>
                <w:bCs/>
                <w:color w:val="B8924D"/>
                <w:spacing w:val="30"/>
                <w:sz w:val="18"/>
                <w:szCs w:val="18"/>
              </w:rPr>
              <w:t xml:space="preserve">FUTURE-LOOKING NOTE</w:t>
            </w:r>
          </w:p>
          <w:p>
            <w:pPr>
              <w:spacing w:after="0" w:line="300"/>
            </w:pPr>
            <w:r>
              <w:rPr>
                <w:rFonts w:ascii="Calibri" w:cs="Calibri" w:eastAsia="Calibri" w:hAnsi="Calibri"/>
                <w:i/>
                <w:iCs/>
                <w:color w:val="2D3B4D"/>
                <w:sz w:val="22"/>
                <w:szCs w:val="22"/>
              </w:rPr>
              <w:t xml:space="preserve">When the module is deployed in the AIBI LMS, the storage layer should be extended with a fourth tier: server-side persistence keyed to the AIBI user account. This would enable Toolbox sync across devices and form the basis for institution-level Toolbox sharing in v2.</w:t>
            </w:r>
          </w:p>
        </w:tc>
      </w:tr>
    </w:tbl>
    <w:p>
      <w:pPr>
        <w:pStyle w:val="Heading3"/>
        <w:spacing w:after="120" w:before="280"/>
      </w:pPr>
      <w:r>
        <w:rPr>
          <w:rFonts w:ascii="Calibri" w:cs="Calibri" w:eastAsia="Calibri" w:hAnsi="Calibri"/>
          <w:b/>
          <w:bCs/>
          <w:color w:val="1A2332"/>
          <w:sz w:val="24"/>
          <w:szCs w:val="24"/>
        </w:rPr>
        <w:t xml:space="preserve">Storage key namespacing</w:t>
      </w:r>
    </w:p>
    <w:p>
      <w:pPr>
        <w:pStyle w:val="ListParagraph"/>
        <w:numPr>
          <w:ilvl w:val="0"/>
          <w:numId w:val="2"/>
        </w:numPr>
        <w:spacing w:after="80" w:line="300"/>
      </w:pPr>
      <w:r>
        <w:rPr>
          <w:rFonts w:ascii="Calibri" w:cs="Calibri" w:eastAsia="Calibri" w:hAnsi="Calibri"/>
          <w:sz w:val="22"/>
          <w:szCs w:val="22"/>
        </w:rPr>
        <w:t xml:space="preserve">v1 module key: aibi-toolbox-skills</w:t>
      </w:r>
    </w:p>
    <w:p>
      <w:pPr>
        <w:pStyle w:val="ListParagraph"/>
        <w:numPr>
          <w:ilvl w:val="0"/>
          <w:numId w:val="2"/>
        </w:numPr>
        <w:spacing w:after="80" w:line="300"/>
      </w:pPr>
      <w:r>
        <w:rPr>
          <w:rFonts w:ascii="Calibri" w:cs="Calibri" w:eastAsia="Calibri" w:hAnsi="Calibri"/>
          <w:sz w:val="22"/>
          <w:szCs w:val="22"/>
        </w:rPr>
        <w:t xml:space="preserve">Future Prompt Builder key: aibi-toolbox-prompts</w:t>
      </w:r>
    </w:p>
    <w:p>
      <w:pPr>
        <w:pStyle w:val="ListParagraph"/>
        <w:numPr>
          <w:ilvl w:val="0"/>
          <w:numId w:val="2"/>
        </w:numPr>
        <w:spacing w:after="80" w:line="300"/>
      </w:pPr>
      <w:r>
        <w:rPr>
          <w:rFonts w:ascii="Calibri" w:cs="Calibri" w:eastAsia="Calibri" w:hAnsi="Calibri"/>
          <w:sz w:val="22"/>
          <w:szCs w:val="22"/>
        </w:rPr>
        <w:t xml:space="preserve">Future Skill Eval key: aibi-toolbox-evals</w:t>
      </w:r>
    </w:p>
    <w:p>
      <w:pPr>
        <w:pStyle w:val="Heading3"/>
        <w:spacing w:after="120" w:before="280"/>
      </w:pPr>
      <w:r>
        <w:rPr>
          <w:rFonts w:ascii="Calibri" w:cs="Calibri" w:eastAsia="Calibri" w:hAnsi="Calibri"/>
          <w:b/>
          <w:bCs/>
          <w:color w:val="1A2332"/>
          <w:sz w:val="24"/>
          <w:szCs w:val="24"/>
        </w:rPr>
        <w:t xml:space="preserve">Skill data shape</w:t>
      </w:r>
    </w:p>
    <w:p>
      <w:pPr>
        <w:spacing w:after="160" w:line="320"/>
      </w:pPr>
      <w:r>
        <w:rPr>
          <w:rFonts w:ascii="Calibri" w:cs="Calibri" w:eastAsia="Calibri" w:hAnsi="Calibri"/>
          <w:sz w:val="22"/>
          <w:szCs w:val="22"/>
        </w:rPr>
        <w:t xml:space="preserve">Each saved skill is a JSON object with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1A2332" w:sz="1"/>
              <w:left w:val="single" w:color="1A2332" w:sz="1"/>
              <w:bottom w:val="single" w:color="1A2332" w:sz="1"/>
              <w:right w:val="single" w:color="1A2332" w:sz="1"/>
            </w:tcBorders>
            <w:shd w:fill="1A2332" w:val="clear"/>
            <w:tcMar>
              <w:top w:type="dxa" w:w="120"/>
              <w:left w:type="dxa" w:w="140"/>
              <w:bottom w:type="dxa" w:w="120"/>
              <w:right w:type="dxa" w:w="140"/>
            </w:tcMar>
          </w:tcPr>
          <w:p>
            <w:r>
              <w:rPr>
                <w:rFonts w:ascii="Calibri" w:cs="Calibri" w:eastAsia="Calibri" w:hAnsi="Calibri"/>
                <w:b/>
                <w:bCs/>
                <w:color w:val="FFFFFF"/>
                <w:spacing w:val="20"/>
                <w:sz w:val="18"/>
                <w:szCs w:val="18"/>
              </w:rPr>
              <w:t xml:space="preserve">Field</w:t>
            </w:r>
          </w:p>
        </w:tc>
        <w:tc>
          <w:tcPr>
            <w:tcW w:type="dxa" w:w="1400"/>
            <w:tcBorders>
              <w:top w:val="single" w:color="1A2332" w:sz="1"/>
              <w:left w:val="single" w:color="1A2332" w:sz="1"/>
              <w:bottom w:val="single" w:color="1A2332" w:sz="1"/>
              <w:right w:val="single" w:color="1A2332" w:sz="1"/>
            </w:tcBorders>
            <w:shd w:fill="1A2332" w:val="clear"/>
            <w:tcMar>
              <w:top w:type="dxa" w:w="120"/>
              <w:left w:type="dxa" w:w="140"/>
              <w:bottom w:type="dxa" w:w="120"/>
              <w:right w:type="dxa" w:w="140"/>
            </w:tcMar>
          </w:tcPr>
          <w:p>
            <w:r>
              <w:rPr>
                <w:rFonts w:ascii="Calibri" w:cs="Calibri" w:eastAsia="Calibri" w:hAnsi="Calibri"/>
                <w:b/>
                <w:bCs/>
                <w:color w:val="FFFFFF"/>
                <w:spacing w:val="20"/>
                <w:sz w:val="18"/>
                <w:szCs w:val="18"/>
              </w:rPr>
              <w:t xml:space="preserve">Type</w:t>
            </w:r>
          </w:p>
        </w:tc>
        <w:tc>
          <w:tcPr>
            <w:tcW w:type="dxa" w:w="5760"/>
            <w:tcBorders>
              <w:top w:val="single" w:color="1A2332" w:sz="1"/>
              <w:left w:val="single" w:color="1A2332" w:sz="1"/>
              <w:bottom w:val="single" w:color="1A2332" w:sz="1"/>
              <w:right w:val="single" w:color="1A2332" w:sz="1"/>
            </w:tcBorders>
            <w:shd w:fill="1A2332" w:val="clear"/>
            <w:tcMar>
              <w:top w:type="dxa" w:w="120"/>
              <w:left w:type="dxa" w:w="140"/>
              <w:bottom w:type="dxa" w:w="120"/>
              <w:right w:type="dxa" w:w="140"/>
            </w:tcMar>
          </w:tcPr>
          <w:p>
            <w:r>
              <w:rPr>
                <w:rFonts w:ascii="Calibri" w:cs="Calibri" w:eastAsia="Calibri" w:hAnsi="Calibri"/>
                <w:b/>
                <w:bCs/>
                <w:color w:val="FFFFFF"/>
                <w:spacing w:val="20"/>
                <w:sz w:val="18"/>
                <w:szCs w:val="18"/>
              </w:rPr>
              <w:t xml:space="preserve">Purpose</w:t>
            </w:r>
          </w:p>
        </w:tc>
      </w:tr>
      <w:tr>
        <w:tc>
          <w:tcPr>
            <w:tcW w:type="dxa" w:w="22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id</w:t>
            </w:r>
          </w:p>
        </w:tc>
        <w:tc>
          <w:tcPr>
            <w:tcW w:type="dxa" w:w="14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string</w:t>
            </w:r>
          </w:p>
        </w:tc>
        <w:tc>
          <w:tcPr>
            <w:tcW w:type="dxa" w:w="576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Unique identifier (skl_&lt;timestamp&gt;)</w:t>
            </w:r>
          </w:p>
        </w:tc>
      </w:tr>
      <w:tr>
        <w:tc>
          <w:tcPr>
            <w:tcW w:type="dxa" w:w="22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cmd</w:t>
            </w:r>
          </w:p>
        </w:tc>
        <w:tc>
          <w:tcPr>
            <w:tcW w:type="dxa" w:w="14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string</w:t>
            </w:r>
          </w:p>
        </w:tc>
        <w:tc>
          <w:tcPr>
            <w:tcW w:type="dxa" w:w="576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Trigger phrase (e.g., /credit-memo)</w:t>
            </w:r>
          </w:p>
        </w:tc>
      </w:tr>
      <w:tr>
        <w:tc>
          <w:tcPr>
            <w:tcW w:type="dxa" w:w="22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name</w:t>
            </w:r>
          </w:p>
        </w:tc>
        <w:tc>
          <w:tcPr>
            <w:tcW w:type="dxa" w:w="14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string</w:t>
            </w:r>
          </w:p>
        </w:tc>
        <w:tc>
          <w:tcPr>
            <w:tcW w:type="dxa" w:w="576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Human-readable skill name</w:t>
            </w:r>
          </w:p>
        </w:tc>
      </w:tr>
      <w:tr>
        <w:tc>
          <w:tcPr>
            <w:tcW w:type="dxa" w:w="22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dept / deptFull</w:t>
            </w:r>
          </w:p>
        </w:tc>
        <w:tc>
          <w:tcPr>
            <w:tcW w:type="dxa" w:w="14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string</w:t>
            </w:r>
          </w:p>
        </w:tc>
        <w:tc>
          <w:tcPr>
            <w:tcW w:type="dxa" w:w="576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Department classification</w:t>
            </w:r>
          </w:p>
        </w:tc>
      </w:tr>
      <w:tr>
        <w:tc>
          <w:tcPr>
            <w:tcW w:type="dxa" w:w="22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purpose</w:t>
            </w:r>
          </w:p>
        </w:tc>
        <w:tc>
          <w:tcPr>
            <w:tcW w:type="dxa" w:w="14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string</w:t>
            </w:r>
          </w:p>
        </w:tc>
        <w:tc>
          <w:tcPr>
            <w:tcW w:type="dxa" w:w="576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What the skill does, end-to-end</w:t>
            </w:r>
          </w:p>
        </w:tc>
      </w:tr>
      <w:tr>
        <w:tc>
          <w:tcPr>
            <w:tcW w:type="dxa" w:w="22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success</w:t>
            </w:r>
          </w:p>
        </w:tc>
        <w:tc>
          <w:tcPr>
            <w:tcW w:type="dxa" w:w="14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string</w:t>
            </w:r>
          </w:p>
        </w:tc>
        <w:tc>
          <w:tcPr>
            <w:tcW w:type="dxa" w:w="576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Definition of done</w:t>
            </w:r>
          </w:p>
        </w:tc>
      </w:tr>
      <w:tr>
        <w:tc>
          <w:tcPr>
            <w:tcW w:type="dxa" w:w="22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files</w:t>
            </w:r>
          </w:p>
        </w:tc>
        <w:tc>
          <w:tcPr>
            <w:tcW w:type="dxa" w:w="14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string[]</w:t>
            </w:r>
          </w:p>
        </w:tc>
        <w:tc>
          <w:tcPr>
            <w:tcW w:type="dxa" w:w="576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Required document paths</w:t>
            </w:r>
          </w:p>
        </w:tc>
      </w:tr>
      <w:tr>
        <w:tc>
          <w:tcPr>
            <w:tcW w:type="dxa" w:w="22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connectors</w:t>
            </w:r>
          </w:p>
        </w:tc>
        <w:tc>
          <w:tcPr>
            <w:tcW w:type="dxa" w:w="14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string[]</w:t>
            </w:r>
          </w:p>
        </w:tc>
        <w:tc>
          <w:tcPr>
            <w:tcW w:type="dxa" w:w="576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Connected app integrations</w:t>
            </w:r>
          </w:p>
        </w:tc>
      </w:tr>
      <w:tr>
        <w:tc>
          <w:tcPr>
            <w:tcW w:type="dxa" w:w="22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questions</w:t>
            </w:r>
          </w:p>
        </w:tc>
        <w:tc>
          <w:tcPr>
            <w:tcW w:type="dxa" w:w="14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string</w:t>
            </w:r>
          </w:p>
        </w:tc>
        <w:tc>
          <w:tcPr>
            <w:tcW w:type="dxa" w:w="576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Clarifying questions (newline-separated)</w:t>
            </w:r>
          </w:p>
        </w:tc>
      </w:tr>
      <w:tr>
        <w:tc>
          <w:tcPr>
            <w:tcW w:type="dxa" w:w="22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steps</w:t>
            </w:r>
          </w:p>
        </w:tc>
        <w:tc>
          <w:tcPr>
            <w:tcW w:type="dxa" w:w="14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string[]</w:t>
            </w:r>
          </w:p>
        </w:tc>
        <w:tc>
          <w:tcPr>
            <w:tcW w:type="dxa" w:w="576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Workflow steps in order</w:t>
            </w:r>
          </w:p>
        </w:tc>
      </w:tr>
      <w:tr>
        <w:tc>
          <w:tcPr>
            <w:tcW w:type="dxa" w:w="22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qualityGates</w:t>
            </w:r>
          </w:p>
        </w:tc>
        <w:tc>
          <w:tcPr>
            <w:tcW w:type="dxa" w:w="14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string[]</w:t>
            </w:r>
          </w:p>
        </w:tc>
        <w:tc>
          <w:tcPr>
            <w:tcW w:type="dxa" w:w="576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Mid-workflow checkpoints</w:t>
            </w:r>
          </w:p>
        </w:tc>
      </w:tr>
      <w:tr>
        <w:tc>
          <w:tcPr>
            <w:tcW w:type="dxa" w:w="22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escalation</w:t>
            </w:r>
          </w:p>
        </w:tc>
        <w:tc>
          <w:tcPr>
            <w:tcW w:type="dxa" w:w="14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string</w:t>
            </w:r>
          </w:p>
        </w:tc>
        <w:tc>
          <w:tcPr>
            <w:tcW w:type="dxa" w:w="576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Escalation triggers</w:t>
            </w:r>
          </w:p>
        </w:tc>
      </w:tr>
      <w:tr>
        <w:tc>
          <w:tcPr>
            <w:tcW w:type="dxa" w:w="22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output</w:t>
            </w:r>
          </w:p>
        </w:tc>
        <w:tc>
          <w:tcPr>
            <w:tcW w:type="dxa" w:w="14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string</w:t>
            </w:r>
          </w:p>
        </w:tc>
        <w:tc>
          <w:tcPr>
            <w:tcW w:type="dxa" w:w="576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Deliverable format</w:t>
            </w:r>
          </w:p>
        </w:tc>
      </w:tr>
      <w:tr>
        <w:tc>
          <w:tcPr>
            <w:tcW w:type="dxa" w:w="22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tone</w:t>
            </w:r>
          </w:p>
        </w:tc>
        <w:tc>
          <w:tcPr>
            <w:tcW w:type="dxa" w:w="14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string</w:t>
            </w:r>
          </w:p>
        </w:tc>
        <w:tc>
          <w:tcPr>
            <w:tcW w:type="dxa" w:w="576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Voice / register</w:t>
            </w:r>
          </w:p>
        </w:tc>
      </w:tr>
      <w:tr>
        <w:tc>
          <w:tcPr>
            <w:tcW w:type="dxa" w:w="22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length</w:t>
            </w:r>
          </w:p>
        </w:tc>
        <w:tc>
          <w:tcPr>
            <w:tcW w:type="dxa" w:w="14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string</w:t>
            </w:r>
          </w:p>
        </w:tc>
        <w:tc>
          <w:tcPr>
            <w:tcW w:type="dxa" w:w="576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Expected length</w:t>
            </w:r>
          </w:p>
        </w:tc>
      </w:tr>
      <w:tr>
        <w:tc>
          <w:tcPr>
            <w:tcW w:type="dxa" w:w="22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guardrails</w:t>
            </w:r>
          </w:p>
        </w:tc>
        <w:tc>
          <w:tcPr>
            <w:tcW w:type="dxa" w:w="14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string[]</w:t>
            </w:r>
          </w:p>
        </w:tc>
        <w:tc>
          <w:tcPr>
            <w:tcW w:type="dxa" w:w="576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Selected hard rules</w:t>
            </w:r>
          </w:p>
        </w:tc>
      </w:tr>
      <w:tr>
        <w:tc>
          <w:tcPr>
            <w:tcW w:type="dxa" w:w="22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customGuard</w:t>
            </w:r>
          </w:p>
        </w:tc>
        <w:tc>
          <w:tcPr>
            <w:tcW w:type="dxa" w:w="14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string</w:t>
            </w:r>
          </w:p>
        </w:tc>
        <w:tc>
          <w:tcPr>
            <w:tcW w:type="dxa" w:w="576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Institution-specific rules</w:t>
            </w:r>
          </w:p>
        </w:tc>
      </w:tr>
      <w:tr>
        <w:tc>
          <w:tcPr>
            <w:tcW w:type="dxa" w:w="22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owner</w:t>
            </w:r>
          </w:p>
        </w:tc>
        <w:tc>
          <w:tcPr>
            <w:tcW w:type="dxa" w:w="14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string</w:t>
            </w:r>
          </w:p>
        </w:tc>
        <w:tc>
          <w:tcPr>
            <w:tcW w:type="dxa" w:w="576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Role accountable for skill</w:t>
            </w:r>
          </w:p>
        </w:tc>
      </w:tr>
      <w:tr>
        <w:tc>
          <w:tcPr>
            <w:tcW w:type="dxa" w:w="22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maturity</w:t>
            </w:r>
          </w:p>
        </w:tc>
        <w:tc>
          <w:tcPr>
            <w:tcW w:type="dxa" w:w="14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enum</w:t>
            </w:r>
          </w:p>
        </w:tc>
        <w:tc>
          <w:tcPr>
            <w:tcW w:type="dxa" w:w="576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draft / pilot / production</w:t>
            </w:r>
          </w:p>
        </w:tc>
      </w:tr>
      <w:tr>
        <w:tc>
          <w:tcPr>
            <w:tcW w:type="dxa" w:w="22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version</w:t>
            </w:r>
          </w:p>
        </w:tc>
        <w:tc>
          <w:tcPr>
            <w:tcW w:type="dxa" w:w="14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string</w:t>
            </w:r>
          </w:p>
        </w:tc>
        <w:tc>
          <w:tcPr>
            <w:tcW w:type="dxa" w:w="576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Semantic version</w:t>
            </w:r>
          </w:p>
        </w:tc>
      </w:tr>
      <w:tr>
        <w:tc>
          <w:tcPr>
            <w:tcW w:type="dxa" w:w="22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created / modified</w:t>
            </w:r>
          </w:p>
        </w:tc>
        <w:tc>
          <w:tcPr>
            <w:tcW w:type="dxa" w:w="14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ISO timestamp</w:t>
            </w:r>
          </w:p>
        </w:tc>
        <w:tc>
          <w:tcPr>
            <w:tcW w:type="dxa" w:w="576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Lifecycle tracking</w:t>
            </w:r>
          </w:p>
        </w:tc>
      </w:tr>
      <w:tr>
        <w:tc>
          <w:tcPr>
            <w:tcW w:type="dxa" w:w="22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samples</w:t>
            </w:r>
          </w:p>
        </w:tc>
        <w:tc>
          <w:tcPr>
            <w:tcW w:type="dxa" w:w="14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object[]</w:t>
            </w:r>
          </w:p>
        </w:tc>
        <w:tc>
          <w:tcPr>
            <w:tcW w:type="dxa" w:w="576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 title, prompt } scenarios</w:t>
            </w:r>
          </w:p>
        </w:tc>
      </w:tr>
    </w:tbl>
    <w:p>
      <w:pPr>
        <w:pStyle w:val="Heading2"/>
        <w:spacing w:after="160" w:before="360"/>
      </w:pPr>
      <w:r>
        <w:rPr>
          <w:rFonts w:ascii="Calibri" w:cs="Calibri" w:eastAsia="Calibri" w:hAnsi="Calibri"/>
          <w:b/>
          <w:bCs/>
          <w:color w:val="7A2A38"/>
          <w:sz w:val="28"/>
          <w:szCs w:val="28"/>
        </w:rPr>
        <w:t xml:space="preserve">7.2 Toolbox UI</w:t>
      </w:r>
    </w:p>
    <w:p>
      <w:pPr>
        <w:pStyle w:val="Heading3"/>
        <w:spacing w:after="120" w:before="280"/>
      </w:pPr>
      <w:r>
        <w:rPr>
          <w:rFonts w:ascii="Calibri" w:cs="Calibri" w:eastAsia="Calibri" w:hAnsi="Calibri"/>
          <w:b/>
          <w:bCs/>
          <w:color w:val="1A2332"/>
          <w:sz w:val="24"/>
          <w:szCs w:val="24"/>
        </w:rPr>
        <w:t xml:space="preserve">Empty state</w:t>
      </w:r>
    </w:p>
    <w:p>
      <w:pPr>
        <w:spacing w:after="160" w:line="320"/>
      </w:pPr>
      <w:r>
        <w:rPr>
          <w:rFonts w:ascii="Calibri" w:cs="Calibri" w:eastAsia="Calibri" w:hAnsi="Calibri"/>
          <w:sz w:val="22"/>
          <w:szCs w:val="22"/>
        </w:rPr>
        <w:t xml:space="preserve">When no skills are saved: a centered empty-state card with the message "Your toolbox is empty" and two CTAs (Browse Cookbook, Build from scratch). Empty Toolbox tab badge is hidden.</w:t>
      </w:r>
    </w:p>
    <w:p>
      <w:pPr>
        <w:pStyle w:val="Heading3"/>
        <w:spacing w:after="120" w:before="280"/>
      </w:pPr>
      <w:r>
        <w:rPr>
          <w:rFonts w:ascii="Calibri" w:cs="Calibri" w:eastAsia="Calibri" w:hAnsi="Calibri"/>
          <w:b/>
          <w:bCs/>
          <w:color w:val="1A2332"/>
          <w:sz w:val="24"/>
          <w:szCs w:val="24"/>
        </w:rPr>
        <w:t xml:space="preserve">Populated state</w:t>
      </w:r>
    </w:p>
    <w:p>
      <w:pPr>
        <w:pStyle w:val="ListParagraph"/>
        <w:numPr>
          <w:ilvl w:val="0"/>
          <w:numId w:val="2"/>
        </w:numPr>
        <w:spacing w:after="80" w:line="300"/>
      </w:pPr>
      <w:r>
        <w:rPr>
          <w:rFonts w:ascii="Calibri" w:cs="Calibri" w:eastAsia="Calibri" w:hAnsi="Calibri"/>
          <w:sz w:val="22"/>
          <w:szCs w:val="22"/>
        </w:rPr>
        <w:t xml:space="preserve">Grid of skill cards (320px min width, auto-fill).</w:t>
      </w:r>
    </w:p>
    <w:p>
      <w:pPr>
        <w:pStyle w:val="ListParagraph"/>
        <w:numPr>
          <w:ilvl w:val="0"/>
          <w:numId w:val="2"/>
        </w:numPr>
        <w:spacing w:after="80" w:line="300"/>
      </w:pPr>
      <w:r>
        <w:rPr>
          <w:rFonts w:ascii="Calibri" w:cs="Calibri" w:eastAsia="Calibri" w:hAnsi="Calibri"/>
          <w:sz w:val="22"/>
          <w:szCs w:val="22"/>
        </w:rPr>
        <w:t xml:space="preserve">Each card shows: trigger, maturity badge (color-coded), name, description preview, department + saved date, four actions (Run / Edit / Download / Delete).</w:t>
      </w:r>
    </w:p>
    <w:p>
      <w:pPr>
        <w:pStyle w:val="ListParagraph"/>
        <w:numPr>
          <w:ilvl w:val="0"/>
          <w:numId w:val="2"/>
        </w:numPr>
        <w:spacing w:after="80" w:line="300"/>
      </w:pPr>
      <w:r>
        <w:rPr>
          <w:rFonts w:ascii="Calibri" w:cs="Calibri" w:eastAsia="Calibri" w:hAnsi="Calibri"/>
          <w:sz w:val="22"/>
          <w:szCs w:val="22"/>
        </w:rPr>
        <w:t xml:space="preserve">Maturity badges: draft (slate dot), pilot (gold dot), production (green dot).</w:t>
      </w:r>
    </w:p>
    <w:p>
      <w:pPr>
        <w:pStyle w:val="ListParagraph"/>
        <w:numPr>
          <w:ilvl w:val="0"/>
          <w:numId w:val="2"/>
        </w:numPr>
        <w:spacing w:after="80" w:line="300"/>
      </w:pPr>
      <w:r>
        <w:rPr>
          <w:rFonts w:ascii="Calibri" w:cs="Calibri" w:eastAsia="Calibri" w:hAnsi="Calibri"/>
          <w:sz w:val="22"/>
          <w:szCs w:val="22"/>
        </w:rPr>
        <w:t xml:space="preserve">Header shows total count: "3 skills saved" or "1 skill saved".</w:t>
      </w:r>
    </w:p>
    <w:p>
      <w:pPr>
        <w:pStyle w:val="Heading3"/>
        <w:spacing w:after="120" w:before="280"/>
      </w:pPr>
      <w:r>
        <w:rPr>
          <w:rFonts w:ascii="Calibri" w:cs="Calibri" w:eastAsia="Calibri" w:hAnsi="Calibri"/>
          <w:b/>
          <w:bCs/>
          <w:color w:val="1A2332"/>
          <w:sz w:val="24"/>
          <w:szCs w:val="24"/>
        </w:rPr>
        <w:t xml:space="preserve">Card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1A2332" w:sz="1"/>
              <w:left w:val="single" w:color="1A2332" w:sz="1"/>
              <w:bottom w:val="single" w:color="1A2332" w:sz="1"/>
              <w:right w:val="single" w:color="1A2332" w:sz="1"/>
            </w:tcBorders>
            <w:shd w:fill="1A2332" w:val="clear"/>
            <w:tcMar>
              <w:top w:type="dxa" w:w="120"/>
              <w:left w:type="dxa" w:w="140"/>
              <w:bottom w:type="dxa" w:w="120"/>
              <w:right w:type="dxa" w:w="140"/>
            </w:tcMar>
          </w:tcPr>
          <w:p>
            <w:r>
              <w:rPr>
                <w:rFonts w:ascii="Calibri" w:cs="Calibri" w:eastAsia="Calibri" w:hAnsi="Calibri"/>
                <w:b/>
                <w:bCs/>
                <w:color w:val="FFFFFF"/>
                <w:spacing w:val="20"/>
                <w:sz w:val="18"/>
                <w:szCs w:val="18"/>
              </w:rPr>
              <w:t xml:space="preserve">Action</w:t>
            </w:r>
          </w:p>
        </w:tc>
        <w:tc>
          <w:tcPr>
            <w:tcW w:type="dxa" w:w="7760"/>
            <w:tcBorders>
              <w:top w:val="single" w:color="1A2332" w:sz="1"/>
              <w:left w:val="single" w:color="1A2332" w:sz="1"/>
              <w:bottom w:val="single" w:color="1A2332" w:sz="1"/>
              <w:right w:val="single" w:color="1A2332" w:sz="1"/>
            </w:tcBorders>
            <w:shd w:fill="1A2332" w:val="clear"/>
            <w:tcMar>
              <w:top w:type="dxa" w:w="120"/>
              <w:left w:type="dxa" w:w="140"/>
              <w:bottom w:type="dxa" w:w="120"/>
              <w:right w:type="dxa" w:w="140"/>
            </w:tcMar>
          </w:tcPr>
          <w:p>
            <w:r>
              <w:rPr>
                <w:rFonts w:ascii="Calibri" w:cs="Calibri" w:eastAsia="Calibri" w:hAnsi="Calibri"/>
                <w:b/>
                <w:bCs/>
                <w:color w:val="FFFFFF"/>
                <w:spacing w:val="20"/>
                <w:sz w:val="18"/>
                <w:szCs w:val="18"/>
              </w:rPr>
              <w:t xml:space="preserve">Behavior</w:t>
            </w:r>
          </w:p>
        </w:tc>
      </w:tr>
      <w:tr>
        <w:tc>
          <w:tcPr>
            <w:tcW w:type="dxa" w:w="16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Run</w:t>
            </w:r>
          </w:p>
        </w:tc>
        <w:tc>
          <w:tcPr>
            <w:tcW w:type="dxa" w:w="776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Loads skill into Playground; switches view to Playground tab; auto-loads first scenario</w:t>
            </w:r>
          </w:p>
        </w:tc>
      </w:tr>
      <w:tr>
        <w:tc>
          <w:tcPr>
            <w:tcW w:type="dxa" w:w="16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Edit</w:t>
            </w:r>
          </w:p>
        </w:tc>
        <w:tc>
          <w:tcPr>
            <w:tcW w:type="dxa" w:w="776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Loads skill into Build wizard; switches to Build tab</w:t>
            </w:r>
          </w:p>
        </w:tc>
      </w:tr>
      <w:tr>
        <w:tc>
          <w:tcPr>
            <w:tcW w:type="dxa" w:w="16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Download</w:t>
            </w:r>
          </w:p>
        </w:tc>
        <w:tc>
          <w:tcPr>
            <w:tcW w:type="dxa" w:w="776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Downloads .md file via blob/anchor pattern</w:t>
            </w:r>
          </w:p>
        </w:tc>
      </w:tr>
      <w:tr>
        <w:tc>
          <w:tcPr>
            <w:tcW w:type="dxa" w:w="16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Delete</w:t>
            </w:r>
          </w:p>
        </w:tc>
        <w:tc>
          <w:tcPr>
            <w:tcW w:type="dxa" w:w="776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Confirmation prompt; removes from storage and re-renders grid</w:t>
            </w:r>
          </w:p>
        </w:tc>
      </w:tr>
    </w:tbl>
    <w:p>
      <w:pPr>
        <w:pStyle w:val="Heading2"/>
        <w:spacing w:after="160" w:before="360"/>
      </w:pPr>
      <w:r>
        <w:rPr>
          <w:rFonts w:ascii="Calibri" w:cs="Calibri" w:eastAsia="Calibri" w:hAnsi="Calibri"/>
          <w:b/>
          <w:bCs/>
          <w:color w:val="7A2A38"/>
          <w:sz w:val="28"/>
          <w:szCs w:val="28"/>
        </w:rPr>
        <w:t xml:space="preserve">7.3 Export &amp; GitHub readiness</w:t>
      </w:r>
    </w:p>
    <w:p>
      <w:pPr>
        <w:spacing w:after="160" w:line="320"/>
      </w:pPr>
      <w:r>
        <w:rPr>
          <w:rFonts w:ascii="Calibri" w:cs="Calibri" w:eastAsia="Calibri" w:hAnsi="Calibri"/>
          <w:sz w:val="22"/>
          <w:szCs w:val="22"/>
        </w:rPr>
        <w:t xml:space="preserve">Every skill in the Toolbox can be exported as a Markdown file with structured YAML frontmatter, ready to commit to a GitHub repository alongside other skills.</w:t>
      </w:r>
    </w:p>
    <w:p>
      <w:pPr>
        <w:pStyle w:val="Heading3"/>
        <w:spacing w:after="120" w:before="280"/>
      </w:pPr>
      <w:r>
        <w:rPr>
          <w:rFonts w:ascii="Calibri" w:cs="Calibri" w:eastAsia="Calibri" w:hAnsi="Calibri"/>
          <w:b/>
          <w:bCs/>
          <w:color w:val="1A2332"/>
          <w:sz w:val="24"/>
          <w:szCs w:val="24"/>
        </w:rPr>
        <w:t xml:space="preserve">Generated .md structure</w:t>
      </w:r>
    </w:p>
    <w:p>
      <w:pPr>
        <w:spacing w:after="160" w:line="320"/>
      </w:pPr>
      <w:r>
        <w:rPr>
          <w:rFonts w:ascii="Calibri" w:cs="Calibri" w:eastAsia="Calibri" w:hAnsi="Calibri"/>
          <w:sz w:val="22"/>
          <w:szCs w:val="22"/>
        </w:rPr>
        <w:t xml:space="preserve">The generateMd() function produces:</w:t>
      </w:r>
    </w:p>
    <w:p>
      <w:pPr>
        <w:pStyle w:val="ListParagraph"/>
        <w:numPr>
          <w:ilvl w:val="0"/>
          <w:numId w:val="3"/>
        </w:numPr>
        <w:spacing w:after="80" w:line="300"/>
      </w:pPr>
      <w:r>
        <w:rPr>
          <w:rFonts w:ascii="Calibri" w:cs="Calibri" w:eastAsia="Calibri" w:hAnsi="Calibri"/>
          <w:sz w:val="22"/>
          <w:szCs w:val="22"/>
        </w:rPr>
        <w:t xml:space="preserve">YAML frontmatter — name, command, title, description, version, owner, maturity, department, cadence, created.</w:t>
      </w:r>
    </w:p>
    <w:p>
      <w:pPr>
        <w:pStyle w:val="ListParagraph"/>
        <w:numPr>
          <w:ilvl w:val="0"/>
          <w:numId w:val="3"/>
        </w:numPr>
        <w:spacing w:after="80" w:line="300"/>
      </w:pPr>
      <w:r>
        <w:rPr>
          <w:rFonts w:ascii="Calibri" w:cs="Calibri" w:eastAsia="Calibri" w:hAnsi="Calibri"/>
          <w:sz w:val="22"/>
          <w:szCs w:val="22"/>
        </w:rPr>
        <w:t xml:space="preserve">Title and trigger note — H1 and a blockquote explaining the trigger phrase.</w:t>
      </w:r>
    </w:p>
    <w:p>
      <w:pPr>
        <w:pStyle w:val="ListParagraph"/>
        <w:numPr>
          <w:ilvl w:val="0"/>
          <w:numId w:val="3"/>
        </w:numPr>
        <w:spacing w:after="80" w:line="300"/>
      </w:pPr>
      <w:r>
        <w:rPr>
          <w:rFonts w:ascii="Calibri" w:cs="Calibri" w:eastAsia="Calibri" w:hAnsi="Calibri"/>
          <w:sz w:val="22"/>
          <w:szCs w:val="22"/>
        </w:rPr>
        <w:t xml:space="preserve">Purpose — the institutional purpose statement.</w:t>
      </w:r>
    </w:p>
    <w:p>
      <w:pPr>
        <w:pStyle w:val="ListParagraph"/>
        <w:numPr>
          <w:ilvl w:val="0"/>
          <w:numId w:val="3"/>
        </w:numPr>
        <w:spacing w:after="80" w:line="300"/>
      </w:pPr>
      <w:r>
        <w:rPr>
          <w:rFonts w:ascii="Calibri" w:cs="Calibri" w:eastAsia="Calibri" w:hAnsi="Calibri"/>
          <w:sz w:val="22"/>
          <w:szCs w:val="22"/>
        </w:rPr>
        <w:t xml:space="preserve">Definition of Done — what success looks like.</w:t>
      </w:r>
    </w:p>
    <w:p>
      <w:pPr>
        <w:pStyle w:val="ListParagraph"/>
        <w:numPr>
          <w:ilvl w:val="0"/>
          <w:numId w:val="3"/>
        </w:numPr>
        <w:spacing w:after="80" w:line="300"/>
      </w:pPr>
      <w:r>
        <w:rPr>
          <w:rFonts w:ascii="Calibri" w:cs="Calibri" w:eastAsia="Calibri" w:hAnsi="Calibri"/>
          <w:sz w:val="22"/>
          <w:szCs w:val="22"/>
        </w:rPr>
        <w:t xml:space="preserve">Required Context — files, folders, connected apps.</w:t>
      </w:r>
    </w:p>
    <w:p>
      <w:pPr>
        <w:pStyle w:val="ListParagraph"/>
        <w:numPr>
          <w:ilvl w:val="0"/>
          <w:numId w:val="3"/>
        </w:numPr>
        <w:spacing w:after="80" w:line="300"/>
      </w:pPr>
      <w:r>
        <w:rPr>
          <w:rFonts w:ascii="Calibri" w:cs="Calibri" w:eastAsia="Calibri" w:hAnsi="Calibri"/>
          <w:sz w:val="22"/>
          <w:szCs w:val="22"/>
        </w:rPr>
        <w:t xml:space="preserve">Before Starting — Required Questions — clarifying questions in numbered list.</w:t>
      </w:r>
    </w:p>
    <w:p>
      <w:pPr>
        <w:pStyle w:val="ListParagraph"/>
        <w:numPr>
          <w:ilvl w:val="0"/>
          <w:numId w:val="3"/>
        </w:numPr>
        <w:spacing w:after="80" w:line="300"/>
      </w:pPr>
      <w:r>
        <w:rPr>
          <w:rFonts w:ascii="Calibri" w:cs="Calibri" w:eastAsia="Calibri" w:hAnsi="Calibri"/>
          <w:sz w:val="22"/>
          <w:szCs w:val="22"/>
        </w:rPr>
        <w:t xml:space="preserve">Workflow — ordered list of steps with optional Quality Checkpoints and Escalation Triggers subsections.</w:t>
      </w:r>
    </w:p>
    <w:p>
      <w:pPr>
        <w:pStyle w:val="ListParagraph"/>
        <w:numPr>
          <w:ilvl w:val="0"/>
          <w:numId w:val="3"/>
        </w:numPr>
        <w:spacing w:after="80" w:line="300"/>
      </w:pPr>
      <w:r>
        <w:rPr>
          <w:rFonts w:ascii="Calibri" w:cs="Calibri" w:eastAsia="Calibri" w:hAnsi="Calibri"/>
          <w:sz w:val="22"/>
          <w:szCs w:val="22"/>
        </w:rPr>
        <w:t xml:space="preserve">Output — table of format / tone / length.</w:t>
      </w:r>
    </w:p>
    <w:p>
      <w:pPr>
        <w:pStyle w:val="ListParagraph"/>
        <w:numPr>
          <w:ilvl w:val="0"/>
          <w:numId w:val="3"/>
        </w:numPr>
        <w:spacing w:after="80" w:line="300"/>
      </w:pPr>
      <w:r>
        <w:rPr>
          <w:rFonts w:ascii="Calibri" w:cs="Calibri" w:eastAsia="Calibri" w:hAnsi="Calibri"/>
          <w:sz w:val="22"/>
          <w:szCs w:val="22"/>
        </w:rPr>
        <w:t xml:space="preserve">Rules — Never Do These — guardrails and custom rules.</w:t>
      </w:r>
    </w:p>
    <w:p>
      <w:pPr>
        <w:pStyle w:val="ListParagraph"/>
        <w:numPr>
          <w:ilvl w:val="0"/>
          <w:numId w:val="3"/>
        </w:numPr>
        <w:spacing w:after="80" w:line="300"/>
      </w:pPr>
      <w:r>
        <w:rPr>
          <w:rFonts w:ascii="Calibri" w:cs="Calibri" w:eastAsia="Calibri" w:hAnsi="Calibri"/>
          <w:sz w:val="22"/>
          <w:szCs w:val="22"/>
        </w:rPr>
        <w:t xml:space="preserve">Footer attribution to AIBI Toolbox Module.</w:t>
      </w:r>
    </w:p>
    <w:p>
      <w:pPr>
        <w:pStyle w:val="Heading3"/>
        <w:spacing w:after="120" w:before="280"/>
      </w:pPr>
      <w:r>
        <w:rPr>
          <w:rFonts w:ascii="Calibri" w:cs="Calibri" w:eastAsia="Calibri" w:hAnsi="Calibri"/>
          <w:b/>
          <w:bCs/>
          <w:color w:val="1A2332"/>
          <w:sz w:val="24"/>
          <w:szCs w:val="24"/>
        </w:rPr>
        <w:t xml:space="preserve">Recommended folder structure</w:t>
      </w:r>
    </w:p>
    <w:p>
      <w:pPr>
        <w:spacing w:after="160" w:line="320"/>
      </w:pPr>
      <w:r>
        <w:rPr>
          <w:rFonts w:ascii="Calibri" w:cs="Calibri" w:eastAsia="Calibri" w:hAnsi="Calibri"/>
          <w:sz w:val="22"/>
          <w:szCs w:val="22"/>
        </w:rPr>
        <w:t xml:space="preserve">Skills are designed to live in a /skills/ directory of an institution's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8C7" w:sz="1"/>
              <w:left w:val="single" w:color="E0D8C7" w:sz="1"/>
              <w:bottom w:val="single" w:color="E0D8C7" w:sz="1"/>
              <w:right w:val="single" w:color="E0D8C7" w:sz="1"/>
            </w:tcBorders>
            <w:shd w:fill="FFFDF7" w:val="clear"/>
            <w:tcMar>
              <w:top w:type="dxa" w:w="200"/>
              <w:left w:type="dxa" w:w="240"/>
              <w:bottom w:type="dxa" w:w="200"/>
              <w:right w:type="dxa" w:w="240"/>
            </w:tcMar>
          </w:tcPr>
          <w:p>
            <w:pPr>
              <w:spacing w:after="40" w:line="280"/>
            </w:pPr>
            <w:r>
              <w:rPr>
                <w:rFonts w:ascii="Consolas" w:cs="Consolas" w:eastAsia="Consolas" w:hAnsi="Consolas"/>
                <w:color w:val="2D3B4D"/>
                <w:sz w:val="20"/>
                <w:szCs w:val="20"/>
              </w:rPr>
              <w:t xml:space="preserve">/your-bank-skills/</w:t>
            </w:r>
          </w:p>
          <w:p>
            <w:pPr>
              <w:spacing w:after="40" w:line="280"/>
            </w:pPr>
            <w:r>
              <w:rPr>
                <w:rFonts w:ascii="Consolas" w:cs="Consolas" w:eastAsia="Consolas" w:hAnsi="Consolas"/>
                <w:color w:val="2D3B4D"/>
                <w:sz w:val="20"/>
                <w:szCs w:val="20"/>
              </w:rPr>
              <w:t xml:space="preserve">├── README.md</w:t>
            </w:r>
          </w:p>
          <w:p>
            <w:pPr>
              <w:spacing w:after="40" w:line="280"/>
            </w:pPr>
            <w:r>
              <w:rPr>
                <w:rFonts w:ascii="Consolas" w:cs="Consolas" w:eastAsia="Consolas" w:hAnsi="Consolas"/>
                <w:color w:val="2D3B4D"/>
                <w:sz w:val="20"/>
                <w:szCs w:val="20"/>
              </w:rPr>
              <w:t xml:space="preserve">├── about-me/</w:t>
            </w:r>
          </w:p>
          <w:p>
            <w:pPr>
              <w:spacing w:after="40" w:line="280"/>
            </w:pPr>
            <w:r>
              <w:rPr>
                <w:rFonts w:ascii="Consolas" w:cs="Consolas" w:eastAsia="Consolas" w:hAnsi="Consolas"/>
                <w:color w:val="2D3B4D"/>
                <w:sz w:val="20"/>
                <w:szCs w:val="20"/>
              </w:rPr>
              <w:t xml:space="preserve">│   ├── about-me.md</w:t>
            </w:r>
          </w:p>
          <w:p>
            <w:pPr>
              <w:spacing w:after="40" w:line="280"/>
            </w:pPr>
            <w:r>
              <w:rPr>
                <w:rFonts w:ascii="Consolas" w:cs="Consolas" w:eastAsia="Consolas" w:hAnsi="Consolas"/>
                <w:color w:val="2D3B4D"/>
                <w:sz w:val="20"/>
                <w:szCs w:val="20"/>
              </w:rPr>
              <w:t xml:space="preserve">│   └── institution.md</w:t>
            </w:r>
          </w:p>
          <w:p>
            <w:pPr>
              <w:spacing w:after="40" w:line="280"/>
            </w:pPr>
            <w:r>
              <w:rPr>
                <w:rFonts w:ascii="Consolas" w:cs="Consolas" w:eastAsia="Consolas" w:hAnsi="Consolas"/>
                <w:color w:val="2D3B4D"/>
                <w:sz w:val="20"/>
                <w:szCs w:val="20"/>
              </w:rPr>
              <w:t xml:space="preserve">├── skills/</w:t>
            </w:r>
          </w:p>
          <w:p>
            <w:pPr>
              <w:spacing w:after="40" w:line="280"/>
            </w:pPr>
            <w:r>
              <w:rPr>
                <w:rFonts w:ascii="Consolas" w:cs="Consolas" w:eastAsia="Consolas" w:hAnsi="Consolas"/>
                <w:color w:val="2D3B4D"/>
                <w:sz w:val="20"/>
                <w:szCs w:val="20"/>
              </w:rPr>
              <w:t xml:space="preserve">│   ├── credit-memo.md</w:t>
            </w:r>
          </w:p>
          <w:p>
            <w:pPr>
              <w:spacing w:after="40" w:line="280"/>
            </w:pPr>
            <w:r>
              <w:rPr>
                <w:rFonts w:ascii="Consolas" w:cs="Consolas" w:eastAsia="Consolas" w:hAnsi="Consolas"/>
                <w:color w:val="2D3B4D"/>
                <w:sz w:val="20"/>
                <w:szCs w:val="20"/>
              </w:rPr>
              <w:t xml:space="preserve">│   ├── exam-prep.md</w:t>
            </w:r>
          </w:p>
          <w:p>
            <w:pPr>
              <w:spacing w:after="40" w:line="280"/>
            </w:pPr>
            <w:r>
              <w:rPr>
                <w:rFonts w:ascii="Consolas" w:cs="Consolas" w:eastAsia="Consolas" w:hAnsi="Consolas"/>
                <w:color w:val="2D3B4D"/>
                <w:sz w:val="20"/>
                <w:szCs w:val="20"/>
              </w:rPr>
              <w:t xml:space="preserve">│   └── …</w:t>
            </w:r>
          </w:p>
          <w:p>
            <w:pPr>
              <w:spacing w:after="40" w:line="280"/>
            </w:pPr>
            <w:r>
              <w:rPr>
                <w:rFonts w:ascii="Consolas" w:cs="Consolas" w:eastAsia="Consolas" w:hAnsi="Consolas"/>
                <w:color w:val="2D3B4D"/>
                <w:sz w:val="20"/>
                <w:szCs w:val="20"/>
              </w:rPr>
              <w:t xml:space="preserve">├── policies/</w:t>
            </w:r>
          </w:p>
          <w:p>
            <w:pPr>
              <w:spacing w:after="40" w:line="280"/>
            </w:pPr>
            <w:r>
              <w:rPr>
                <w:rFonts w:ascii="Consolas" w:cs="Consolas" w:eastAsia="Consolas" w:hAnsi="Consolas"/>
                <w:color w:val="2D3B4D"/>
                <w:sz w:val="20"/>
                <w:szCs w:val="20"/>
              </w:rPr>
              <w:t xml:space="preserve">├── templates/</w:t>
            </w:r>
          </w:p>
          <w:p>
            <w:pPr>
              <w:spacing w:after="40" w:line="280"/>
            </w:pPr>
            <w:r>
              <w:rPr>
                <w:rFonts w:ascii="Consolas" w:cs="Consolas" w:eastAsia="Consolas" w:hAnsi="Consolas"/>
                <w:color w:val="2D3B4D"/>
                <w:sz w:val="20"/>
                <w:szCs w:val="20"/>
              </w:rPr>
              <w:t xml:space="preserve">├── data/</w:t>
            </w:r>
          </w:p>
          <w:p>
            <w:pPr>
              <w:spacing w:after="40" w:line="280"/>
            </w:pPr>
            <w:r>
              <w:rPr>
                <w:rFonts w:ascii="Consolas" w:cs="Consolas" w:eastAsia="Consolas" w:hAnsi="Consolas"/>
                <w:color w:val="2D3B4D"/>
                <w:sz w:val="20"/>
                <w:szCs w:val="20"/>
              </w:rPr>
              <w:t xml:space="preserve">└── outputs/</w:t>
            </w:r>
          </w:p>
        </w:tc>
      </w:tr>
    </w:tbl>
    <w:p>
      <w:pPr>
        <w:pStyle w:val="Heading2"/>
        <w:spacing w:after="160" w:before="360"/>
      </w:pPr>
      <w:r>
        <w:rPr>
          <w:rFonts w:ascii="Calibri" w:cs="Calibri" w:eastAsia="Calibri" w:hAnsi="Calibri"/>
          <w:b/>
          <w:bCs/>
          <w:color w:val="7A2A38"/>
          <w:sz w:val="28"/>
          <w:szCs w:val="28"/>
        </w:rPr>
        <w:t xml:space="preserve">7.4 Toolbox non-functional requirements</w:t>
      </w:r>
    </w:p>
    <w:p>
      <w:pPr>
        <w:pStyle w:val="ListParagraph"/>
        <w:numPr>
          <w:ilvl w:val="0"/>
          <w:numId w:val="2"/>
        </w:numPr>
        <w:spacing w:after="80" w:line="300"/>
      </w:pPr>
      <w:r>
        <w:rPr>
          <w:rFonts w:ascii="Calibri" w:cs="Calibri" w:eastAsia="Calibri" w:hAnsi="Calibri"/>
          <w:sz w:val="22"/>
          <w:szCs w:val="22"/>
        </w:rPr>
        <w:t xml:space="preserve">Save success: ≥99.5% of save operations complete successfully (storage abstraction handles fallback transparently).</w:t>
      </w:r>
    </w:p>
    <w:p>
      <w:pPr>
        <w:pStyle w:val="ListParagraph"/>
        <w:numPr>
          <w:ilvl w:val="0"/>
          <w:numId w:val="2"/>
        </w:numPr>
        <w:spacing w:after="80" w:line="300"/>
      </w:pPr>
      <w:r>
        <w:rPr>
          <w:rFonts w:ascii="Calibri" w:cs="Calibri" w:eastAsia="Calibri" w:hAnsi="Calibri"/>
          <w:sz w:val="22"/>
          <w:szCs w:val="22"/>
        </w:rPr>
        <w:t xml:space="preserve">Render performance: Toolbox grid renders within 200ms for up to 100 saved skills.</w:t>
      </w:r>
    </w:p>
    <w:p>
      <w:pPr>
        <w:pStyle w:val="ListParagraph"/>
        <w:numPr>
          <w:ilvl w:val="0"/>
          <w:numId w:val="2"/>
        </w:numPr>
        <w:spacing w:after="80" w:line="300"/>
      </w:pPr>
      <w:r>
        <w:rPr>
          <w:rFonts w:ascii="Calibri" w:cs="Calibri" w:eastAsia="Calibri" w:hAnsi="Calibri"/>
          <w:sz w:val="22"/>
          <w:szCs w:val="22"/>
        </w:rPr>
        <w:t xml:space="preserve">Quota awareness: localStorage quota limits monitored; user warned if approaching 5MB threshold.</w:t>
      </w:r>
    </w:p>
    <w:p>
      <w:pPr>
        <w:pStyle w:val="Heading1"/>
        <w:pageBreakBefore/>
        <w:spacing w:after="240" w:before="480"/>
      </w:pPr>
      <w:r>
        <w:rPr>
          <w:rFonts w:ascii="Calibri" w:cs="Calibri" w:eastAsia="Calibri" w:hAnsi="Calibri"/>
          <w:b/>
          <w:bCs/>
          <w:color w:val="1A2332"/>
          <w:sz w:val="36"/>
          <w:szCs w:val="36"/>
        </w:rPr>
        <w:t xml:space="preserve">8. Non-Functional Requirements</w:t>
      </w:r>
    </w:p>
    <w:p>
      <w:pPr>
        <w:pStyle w:val="Heading2"/>
        <w:spacing w:after="160" w:before="360"/>
      </w:pPr>
      <w:r>
        <w:rPr>
          <w:rFonts w:ascii="Calibri" w:cs="Calibri" w:eastAsia="Calibri" w:hAnsi="Calibri"/>
          <w:b/>
          <w:bCs/>
          <w:color w:val="7A2A38"/>
          <w:sz w:val="28"/>
          <w:szCs w:val="28"/>
        </w:rPr>
        <w:t xml:space="preserve">8.1 Performance</w:t>
      </w:r>
    </w:p>
    <w:p>
      <w:pPr>
        <w:pStyle w:val="ListParagraph"/>
        <w:numPr>
          <w:ilvl w:val="0"/>
          <w:numId w:val="2"/>
        </w:numPr>
        <w:spacing w:after="80" w:line="300"/>
      </w:pPr>
      <w:r>
        <w:rPr>
          <w:rFonts w:ascii="Calibri" w:cs="Calibri" w:eastAsia="Calibri" w:hAnsi="Calibri"/>
          <w:sz w:val="22"/>
          <w:szCs w:val="22"/>
        </w:rPr>
        <w:t xml:space="preserve">First Contentful Paint &lt; 1.5s on broadband.</w:t>
      </w:r>
    </w:p>
    <w:p>
      <w:pPr>
        <w:pStyle w:val="ListParagraph"/>
        <w:numPr>
          <w:ilvl w:val="0"/>
          <w:numId w:val="2"/>
        </w:numPr>
        <w:spacing w:after="80" w:line="300"/>
      </w:pPr>
      <w:r>
        <w:rPr>
          <w:rFonts w:ascii="Calibri" w:cs="Calibri" w:eastAsia="Calibri" w:hAnsi="Calibri"/>
          <w:sz w:val="22"/>
          <w:szCs w:val="22"/>
        </w:rPr>
        <w:t xml:space="preserve">Time to Interactive &lt; 3s.</w:t>
      </w:r>
    </w:p>
    <w:p>
      <w:pPr>
        <w:pStyle w:val="ListParagraph"/>
        <w:numPr>
          <w:ilvl w:val="0"/>
          <w:numId w:val="2"/>
        </w:numPr>
        <w:spacing w:after="80" w:line="300"/>
      </w:pPr>
      <w:r>
        <w:rPr>
          <w:rFonts w:ascii="Calibri" w:cs="Calibri" w:eastAsia="Calibri" w:hAnsi="Calibri"/>
          <w:sz w:val="22"/>
          <w:szCs w:val="22"/>
        </w:rPr>
        <w:t xml:space="preserve">Tab switches respond within 100ms (no perceptible delay).</w:t>
      </w:r>
    </w:p>
    <w:p>
      <w:pPr>
        <w:pStyle w:val="ListParagraph"/>
        <w:numPr>
          <w:ilvl w:val="0"/>
          <w:numId w:val="2"/>
        </w:numPr>
        <w:spacing w:after="80" w:line="300"/>
      </w:pPr>
      <w:r>
        <w:rPr>
          <w:rFonts w:ascii="Calibri" w:cs="Calibri" w:eastAsia="Calibri" w:hAnsi="Calibri"/>
          <w:sz w:val="22"/>
          <w:szCs w:val="22"/>
        </w:rPr>
        <w:t xml:space="preserve">Markdown rendering of an 8000-token Claude response completes in under 200ms.</w:t>
      </w:r>
    </w:p>
    <w:p>
      <w:pPr>
        <w:pStyle w:val="Heading2"/>
        <w:spacing w:after="160" w:before="360"/>
      </w:pPr>
      <w:r>
        <w:rPr>
          <w:rFonts w:ascii="Calibri" w:cs="Calibri" w:eastAsia="Calibri" w:hAnsi="Calibri"/>
          <w:b/>
          <w:bCs/>
          <w:color w:val="7A2A38"/>
          <w:sz w:val="28"/>
          <w:szCs w:val="28"/>
        </w:rPr>
        <w:t xml:space="preserve">8.2 Accessibility</w:t>
      </w:r>
    </w:p>
    <w:p>
      <w:pPr>
        <w:pStyle w:val="ListParagraph"/>
        <w:numPr>
          <w:ilvl w:val="0"/>
          <w:numId w:val="2"/>
        </w:numPr>
        <w:spacing w:after="80" w:line="300"/>
      </w:pPr>
      <w:r>
        <w:rPr>
          <w:rFonts w:ascii="Calibri" w:cs="Calibri" w:eastAsia="Calibri" w:hAnsi="Calibri"/>
          <w:sz w:val="22"/>
          <w:szCs w:val="22"/>
        </w:rPr>
        <w:t xml:space="preserve">WCAG 2.1 AA compliance for color contrast (currently met by design tokens).</w:t>
      </w:r>
    </w:p>
    <w:p>
      <w:pPr>
        <w:pStyle w:val="ListParagraph"/>
        <w:numPr>
          <w:ilvl w:val="0"/>
          <w:numId w:val="2"/>
        </w:numPr>
        <w:spacing w:after="80" w:line="300"/>
      </w:pPr>
      <w:r>
        <w:rPr>
          <w:rFonts w:ascii="Calibri" w:cs="Calibri" w:eastAsia="Calibri" w:hAnsi="Calibri"/>
          <w:sz w:val="22"/>
          <w:szCs w:val="22"/>
        </w:rPr>
        <w:t xml:space="preserve">Keyboard navigation through all primary controls.</w:t>
      </w:r>
    </w:p>
    <w:p>
      <w:pPr>
        <w:pStyle w:val="ListParagraph"/>
        <w:numPr>
          <w:ilvl w:val="0"/>
          <w:numId w:val="2"/>
        </w:numPr>
        <w:spacing w:after="80" w:line="300"/>
      </w:pPr>
      <w:r>
        <w:rPr>
          <w:rFonts w:ascii="Calibri" w:cs="Calibri" w:eastAsia="Calibri" w:hAnsi="Calibri"/>
          <w:sz w:val="22"/>
          <w:szCs w:val="22"/>
        </w:rPr>
        <w:t xml:space="preserve">Screen reader friendly: semantic HTML, ARIA labels on interactive elements.</w:t>
      </w:r>
    </w:p>
    <w:p>
      <w:pPr>
        <w:pStyle w:val="ListParagraph"/>
        <w:numPr>
          <w:ilvl w:val="0"/>
          <w:numId w:val="2"/>
        </w:numPr>
        <w:spacing w:after="80" w:line="300"/>
      </w:pPr>
      <w:r>
        <w:rPr>
          <w:rFonts w:ascii="Calibri" w:cs="Calibri" w:eastAsia="Calibri" w:hAnsi="Calibri"/>
          <w:sz w:val="22"/>
          <w:szCs w:val="22"/>
        </w:rPr>
        <w:t xml:space="preserve">Focus indicators visible and consistent.</w:t>
      </w:r>
    </w:p>
    <w:p>
      <w:pPr>
        <w:pStyle w:val="ListParagraph"/>
        <w:numPr>
          <w:ilvl w:val="0"/>
          <w:numId w:val="2"/>
        </w:numPr>
        <w:spacing w:after="80" w:line="300"/>
      </w:pPr>
      <w:r>
        <w:rPr>
          <w:rFonts w:ascii="Calibri" w:cs="Calibri" w:eastAsia="Calibri" w:hAnsi="Calibri"/>
          <w:sz w:val="22"/>
          <w:szCs w:val="22"/>
        </w:rPr>
        <w:t xml:space="preserve">No reliance on color alone to convey state (maturity badges combine color and text).</w:t>
      </w:r>
    </w:p>
    <w:p>
      <w:pPr>
        <w:pStyle w:val="Heading2"/>
        <w:spacing w:after="160" w:before="360"/>
      </w:pPr>
      <w:r>
        <w:rPr>
          <w:rFonts w:ascii="Calibri" w:cs="Calibri" w:eastAsia="Calibri" w:hAnsi="Calibri"/>
          <w:b/>
          <w:bCs/>
          <w:color w:val="7A2A38"/>
          <w:sz w:val="28"/>
          <w:szCs w:val="28"/>
        </w:rPr>
        <w:t xml:space="preserve">8.3 Browser support</w:t>
      </w:r>
    </w:p>
    <w:p>
      <w:pPr>
        <w:pStyle w:val="ListParagraph"/>
        <w:numPr>
          <w:ilvl w:val="0"/>
          <w:numId w:val="2"/>
        </w:numPr>
        <w:spacing w:after="80" w:line="300"/>
      </w:pPr>
      <w:r>
        <w:rPr>
          <w:rFonts w:ascii="Calibri" w:cs="Calibri" w:eastAsia="Calibri" w:hAnsi="Calibri"/>
          <w:sz w:val="22"/>
          <w:szCs w:val="22"/>
        </w:rPr>
        <w:t xml:space="preserve">Chrome / Edge: latest 2 versions.</w:t>
      </w:r>
    </w:p>
    <w:p>
      <w:pPr>
        <w:pStyle w:val="ListParagraph"/>
        <w:numPr>
          <w:ilvl w:val="0"/>
          <w:numId w:val="2"/>
        </w:numPr>
        <w:spacing w:after="80" w:line="300"/>
      </w:pPr>
      <w:r>
        <w:rPr>
          <w:rFonts w:ascii="Calibri" w:cs="Calibri" w:eastAsia="Calibri" w:hAnsi="Calibri"/>
          <w:sz w:val="22"/>
          <w:szCs w:val="22"/>
        </w:rPr>
        <w:t xml:space="preserve">Firefox: latest 2 versions.</w:t>
      </w:r>
    </w:p>
    <w:p>
      <w:pPr>
        <w:pStyle w:val="ListParagraph"/>
        <w:numPr>
          <w:ilvl w:val="0"/>
          <w:numId w:val="2"/>
        </w:numPr>
        <w:spacing w:after="80" w:line="300"/>
      </w:pPr>
      <w:r>
        <w:rPr>
          <w:rFonts w:ascii="Calibri" w:cs="Calibri" w:eastAsia="Calibri" w:hAnsi="Calibri"/>
          <w:sz w:val="22"/>
          <w:szCs w:val="22"/>
        </w:rPr>
        <w:t xml:space="preserve">Safari: latest 2 versions (macOS and iOS).</w:t>
      </w:r>
    </w:p>
    <w:p>
      <w:pPr>
        <w:pStyle w:val="ListParagraph"/>
        <w:numPr>
          <w:ilvl w:val="0"/>
          <w:numId w:val="2"/>
        </w:numPr>
        <w:spacing w:after="80" w:line="300"/>
      </w:pPr>
      <w:r>
        <w:rPr>
          <w:rFonts w:ascii="Calibri" w:cs="Calibri" w:eastAsia="Calibri" w:hAnsi="Calibri"/>
          <w:sz w:val="22"/>
          <w:szCs w:val="22"/>
        </w:rPr>
        <w:t xml:space="preserve">Mobile responsive: 320px – 1920px viewport widths.</w:t>
      </w:r>
    </w:p>
    <w:p>
      <w:pPr>
        <w:pStyle w:val="Heading2"/>
        <w:spacing w:after="160" w:before="360"/>
      </w:pPr>
      <w:r>
        <w:rPr>
          <w:rFonts w:ascii="Calibri" w:cs="Calibri" w:eastAsia="Calibri" w:hAnsi="Calibri"/>
          <w:b/>
          <w:bCs/>
          <w:color w:val="7A2A38"/>
          <w:sz w:val="28"/>
          <w:szCs w:val="28"/>
        </w:rPr>
        <w:t xml:space="preserve">8.4 Security</w:t>
      </w:r>
    </w:p>
    <w:p>
      <w:pPr>
        <w:pStyle w:val="ListParagraph"/>
        <w:numPr>
          <w:ilvl w:val="0"/>
          <w:numId w:val="2"/>
        </w:numPr>
        <w:spacing w:after="80" w:line="300"/>
      </w:pPr>
      <w:r>
        <w:rPr>
          <w:rFonts w:ascii="Calibri" w:cs="Calibri" w:eastAsia="Calibri" w:hAnsi="Calibri"/>
          <w:sz w:val="22"/>
          <w:szCs w:val="22"/>
        </w:rPr>
        <w:t xml:space="preserve">API keys MUST be server-side in production deployment.</w:t>
      </w:r>
    </w:p>
    <w:p>
      <w:pPr>
        <w:pStyle w:val="ListParagraph"/>
        <w:numPr>
          <w:ilvl w:val="0"/>
          <w:numId w:val="2"/>
        </w:numPr>
        <w:spacing w:after="80" w:line="300"/>
      </w:pPr>
      <w:r>
        <w:rPr>
          <w:rFonts w:ascii="Calibri" w:cs="Calibri" w:eastAsia="Calibri" w:hAnsi="Calibri"/>
          <w:sz w:val="22"/>
          <w:szCs w:val="22"/>
        </w:rPr>
        <w:t xml:space="preserve">No PII or member data should be entered in the Playground (warned in UI).</w:t>
      </w:r>
    </w:p>
    <w:p>
      <w:pPr>
        <w:pStyle w:val="ListParagraph"/>
        <w:numPr>
          <w:ilvl w:val="0"/>
          <w:numId w:val="2"/>
        </w:numPr>
        <w:spacing w:after="80" w:line="300"/>
      </w:pPr>
      <w:r>
        <w:rPr>
          <w:rFonts w:ascii="Calibri" w:cs="Calibri" w:eastAsia="Calibri" w:hAnsi="Calibri"/>
          <w:sz w:val="22"/>
          <w:szCs w:val="22"/>
        </w:rPr>
        <w:t xml:space="preserve">Saved skills contain only fabricated or institutional metadata, no live data.</w:t>
      </w:r>
    </w:p>
    <w:p>
      <w:pPr>
        <w:pStyle w:val="ListParagraph"/>
        <w:numPr>
          <w:ilvl w:val="0"/>
          <w:numId w:val="2"/>
        </w:numPr>
        <w:spacing w:after="80" w:line="300"/>
      </w:pPr>
      <w:r>
        <w:rPr>
          <w:rFonts w:ascii="Calibri" w:cs="Calibri" w:eastAsia="Calibri" w:hAnsi="Calibri"/>
          <w:sz w:val="22"/>
          <w:szCs w:val="22"/>
        </w:rPr>
        <w:t xml:space="preserve">Storage layer respects user's browser privacy settings.</w:t>
      </w:r>
    </w:p>
    <w:p>
      <w:pPr>
        <w:pStyle w:val="Heading2"/>
        <w:spacing w:after="160" w:before="360"/>
      </w:pPr>
      <w:r>
        <w:rPr>
          <w:rFonts w:ascii="Calibri" w:cs="Calibri" w:eastAsia="Calibri" w:hAnsi="Calibri"/>
          <w:b/>
          <w:bCs/>
          <w:color w:val="7A2A38"/>
          <w:sz w:val="28"/>
          <w:szCs w:val="28"/>
        </w:rPr>
        <w:t xml:space="preserve">8.5 Privacy</w:t>
      </w:r>
    </w:p>
    <w:p>
      <w:pPr>
        <w:pStyle w:val="ListParagraph"/>
        <w:numPr>
          <w:ilvl w:val="0"/>
          <w:numId w:val="2"/>
        </w:numPr>
        <w:spacing w:after="80" w:line="300"/>
      </w:pPr>
      <w:r>
        <w:rPr>
          <w:rFonts w:ascii="Calibri" w:cs="Calibri" w:eastAsia="Calibri" w:hAnsi="Calibri"/>
          <w:sz w:val="22"/>
          <w:szCs w:val="22"/>
        </w:rPr>
        <w:t xml:space="preserve">No analytics tracking of skill content (only event-level metrics: skill saved, scenario run, etc.).</w:t>
      </w:r>
    </w:p>
    <w:p>
      <w:pPr>
        <w:pStyle w:val="ListParagraph"/>
        <w:numPr>
          <w:ilvl w:val="0"/>
          <w:numId w:val="2"/>
        </w:numPr>
        <w:spacing w:after="80" w:line="300"/>
      </w:pPr>
      <w:r>
        <w:rPr>
          <w:rFonts w:ascii="Calibri" w:cs="Calibri" w:eastAsia="Calibri" w:hAnsi="Calibri"/>
          <w:sz w:val="22"/>
          <w:szCs w:val="22"/>
        </w:rPr>
        <w:t xml:space="preserve">User-authored skills are stored locally; not transmitted to AIBI servers in v1.</w:t>
      </w:r>
    </w:p>
    <w:p>
      <w:pPr>
        <w:pStyle w:val="ListParagraph"/>
        <w:numPr>
          <w:ilvl w:val="0"/>
          <w:numId w:val="2"/>
        </w:numPr>
        <w:spacing w:after="80" w:line="300"/>
      </w:pPr>
      <w:r>
        <w:rPr>
          <w:rFonts w:ascii="Calibri" w:cs="Calibri" w:eastAsia="Calibri" w:hAnsi="Calibri"/>
          <w:sz w:val="22"/>
          <w:szCs w:val="22"/>
        </w:rPr>
        <w:t xml:space="preserve">Conversation threads are not logged beyond the in-memory session.</w:t>
      </w:r>
    </w:p>
    <w:p>
      <w:pPr>
        <w:pStyle w:val="Heading2"/>
        <w:spacing w:after="160" w:before="360"/>
      </w:pPr>
      <w:r>
        <w:rPr>
          <w:rFonts w:ascii="Calibri" w:cs="Calibri" w:eastAsia="Calibri" w:hAnsi="Calibri"/>
          <w:b/>
          <w:bCs/>
          <w:color w:val="7A2A38"/>
          <w:sz w:val="28"/>
          <w:szCs w:val="28"/>
        </w:rPr>
        <w:t xml:space="preserve">8.6 Brand &amp; visual standards</w:t>
      </w:r>
    </w:p>
    <w:p>
      <w:pPr>
        <w:spacing w:after="160" w:line="320"/>
      </w:pPr>
      <w:r>
        <w:rPr>
          <w:rFonts w:ascii="Calibri" w:cs="Calibri" w:eastAsia="Calibri" w:hAnsi="Calibri"/>
          <w:sz w:val="22"/>
          <w:szCs w:val="22"/>
        </w:rPr>
        <w:t xml:space="preserve">The module inherits AIBI's editorial design system:</w:t>
      </w:r>
    </w:p>
    <w:p>
      <w:pPr>
        <w:pStyle w:val="ListParagraph"/>
        <w:numPr>
          <w:ilvl w:val="0"/>
          <w:numId w:val="2"/>
        </w:numPr>
        <w:spacing w:after="80" w:line="300"/>
      </w:pPr>
      <w:r>
        <w:rPr>
          <w:rFonts w:ascii="Calibri" w:cs="Calibri" w:eastAsia="Calibri" w:hAnsi="Calibri"/>
          <w:sz w:val="22"/>
          <w:szCs w:val="22"/>
        </w:rPr>
        <w:t xml:space="preserve">Typography: Fraunces (serif headers), Plus Jakarta Sans (UI), JetBrains Mono (code).</w:t>
      </w:r>
    </w:p>
    <w:p>
      <w:pPr>
        <w:pStyle w:val="ListParagraph"/>
        <w:numPr>
          <w:ilvl w:val="0"/>
          <w:numId w:val="2"/>
        </w:numPr>
        <w:spacing w:after="80" w:line="300"/>
      </w:pPr>
      <w:r>
        <w:rPr>
          <w:rFonts w:ascii="Calibri" w:cs="Calibri" w:eastAsia="Calibri" w:hAnsi="Calibri"/>
          <w:sz w:val="22"/>
          <w:szCs w:val="22"/>
        </w:rPr>
        <w:t xml:space="preserve">Color tokens: cream paper (#F7F3EB), navy ink (#1A2332), burgundy accent (#7A2A38), gold highlight (#B8924D).</w:t>
      </w:r>
    </w:p>
    <w:p>
      <w:pPr>
        <w:pStyle w:val="ListParagraph"/>
        <w:numPr>
          <w:ilvl w:val="0"/>
          <w:numId w:val="2"/>
        </w:numPr>
        <w:spacing w:after="80" w:line="300"/>
      </w:pPr>
      <w:r>
        <w:rPr>
          <w:rFonts w:ascii="Calibri" w:cs="Calibri" w:eastAsia="Calibri" w:hAnsi="Calibri"/>
          <w:sz w:val="22"/>
          <w:szCs w:val="22"/>
        </w:rPr>
        <w:t xml:space="preserve">Spacing: 8px grid; generous editorial whitespace.</w:t>
      </w:r>
    </w:p>
    <w:p>
      <w:pPr>
        <w:pStyle w:val="ListParagraph"/>
        <w:numPr>
          <w:ilvl w:val="0"/>
          <w:numId w:val="2"/>
        </w:numPr>
        <w:spacing w:after="80" w:line="300"/>
      </w:pPr>
      <w:r>
        <w:rPr>
          <w:rFonts w:ascii="Calibri" w:cs="Calibri" w:eastAsia="Calibri" w:hAnsi="Calibri"/>
          <w:sz w:val="22"/>
          <w:szCs w:val="22"/>
        </w:rPr>
        <w:t xml:space="preserve">Tone: serious, institutional, never playful or gamified.</w:t>
      </w:r>
    </w:p>
    <w:p>
      <w:pPr>
        <w:pStyle w:val="Heading1"/>
        <w:pageBreakBefore/>
        <w:spacing w:after="240" w:before="480"/>
      </w:pPr>
      <w:r>
        <w:rPr>
          <w:rFonts w:ascii="Calibri" w:cs="Calibri" w:eastAsia="Calibri" w:hAnsi="Calibri"/>
          <w:b/>
          <w:bCs/>
          <w:color w:val="1A2332"/>
          <w:sz w:val="36"/>
          <w:szCs w:val="36"/>
        </w:rPr>
        <w:t xml:space="preserve">9. Dependencies &amp; Assumptions</w:t>
      </w:r>
    </w:p>
    <w:p>
      <w:pPr>
        <w:pStyle w:val="Heading2"/>
        <w:spacing w:after="160" w:before="360"/>
      </w:pPr>
      <w:r>
        <w:rPr>
          <w:rFonts w:ascii="Calibri" w:cs="Calibri" w:eastAsia="Calibri" w:hAnsi="Calibri"/>
          <w:b/>
          <w:bCs/>
          <w:color w:val="7A2A38"/>
          <w:sz w:val="28"/>
          <w:szCs w:val="28"/>
        </w:rPr>
        <w:t xml:space="preserve">9.1 External dependencies</w:t>
      </w:r>
    </w:p>
    <w:p>
      <w:pPr>
        <w:pStyle w:val="ListParagraph"/>
        <w:numPr>
          <w:ilvl w:val="0"/>
          <w:numId w:val="2"/>
        </w:numPr>
        <w:spacing w:after="80" w:line="300"/>
      </w:pPr>
      <w:r>
        <w:rPr>
          <w:rFonts w:ascii="Calibri" w:cs="Calibri" w:eastAsia="Calibri" w:hAnsi="Calibri"/>
          <w:sz w:val="22"/>
          <w:szCs w:val="22"/>
        </w:rPr>
        <w:t xml:space="preserve">Anthropic API access — claude-sonnet-4-20250514 model availability.</w:t>
      </w:r>
    </w:p>
    <w:p>
      <w:pPr>
        <w:pStyle w:val="ListParagraph"/>
        <w:numPr>
          <w:ilvl w:val="0"/>
          <w:numId w:val="2"/>
        </w:numPr>
        <w:spacing w:after="80" w:line="300"/>
      </w:pPr>
      <w:r>
        <w:rPr>
          <w:rFonts w:ascii="Calibri" w:cs="Calibri" w:eastAsia="Calibri" w:hAnsi="Calibri"/>
          <w:sz w:val="22"/>
          <w:szCs w:val="22"/>
        </w:rPr>
        <w:t xml:space="preserve">Google Fonts CDN — Fraunces, Plus Jakarta Sans, JetBrains Mono.</w:t>
      </w:r>
    </w:p>
    <w:p>
      <w:pPr>
        <w:pStyle w:val="ListParagraph"/>
        <w:numPr>
          <w:ilvl w:val="0"/>
          <w:numId w:val="2"/>
        </w:numPr>
        <w:spacing w:after="80" w:line="300"/>
      </w:pPr>
      <w:r>
        <w:rPr>
          <w:rFonts w:ascii="Calibri" w:cs="Calibri" w:eastAsia="Calibri" w:hAnsi="Calibri"/>
          <w:sz w:val="22"/>
          <w:szCs w:val="22"/>
        </w:rPr>
        <w:t xml:space="preserve">AIBI LMS — host environment, authentication, billing context.</w:t>
      </w:r>
    </w:p>
    <w:p>
      <w:pPr>
        <w:pStyle w:val="ListParagraph"/>
        <w:numPr>
          <w:ilvl w:val="0"/>
          <w:numId w:val="2"/>
        </w:numPr>
        <w:spacing w:after="80" w:line="300"/>
      </w:pPr>
      <w:r>
        <w:rPr>
          <w:rFonts w:ascii="Calibri" w:cs="Calibri" w:eastAsia="Calibri" w:hAnsi="Calibri"/>
          <w:sz w:val="22"/>
          <w:szCs w:val="22"/>
        </w:rPr>
        <w:t xml:space="preserve">Backend proxy service — required for production API call routing.</w:t>
      </w:r>
    </w:p>
    <w:p>
      <w:pPr>
        <w:pStyle w:val="Heading2"/>
        <w:spacing w:after="160" w:before="360"/>
      </w:pPr>
      <w:r>
        <w:rPr>
          <w:rFonts w:ascii="Calibri" w:cs="Calibri" w:eastAsia="Calibri" w:hAnsi="Calibri"/>
          <w:b/>
          <w:bCs/>
          <w:color w:val="7A2A38"/>
          <w:sz w:val="28"/>
          <w:szCs w:val="28"/>
        </w:rPr>
        <w:t xml:space="preserve">9.2 Internal dependencies</w:t>
      </w:r>
    </w:p>
    <w:p>
      <w:pPr>
        <w:pStyle w:val="ListParagraph"/>
        <w:numPr>
          <w:ilvl w:val="0"/>
          <w:numId w:val="2"/>
        </w:numPr>
        <w:spacing w:after="80" w:line="300"/>
      </w:pPr>
      <w:r>
        <w:rPr>
          <w:rFonts w:ascii="Calibri" w:cs="Calibri" w:eastAsia="Calibri" w:hAnsi="Calibri"/>
          <w:sz w:val="22"/>
          <w:szCs w:val="22"/>
        </w:rPr>
        <w:t xml:space="preserve">Storage abstraction layer (client-side, included in module).</w:t>
      </w:r>
    </w:p>
    <w:p>
      <w:pPr>
        <w:pStyle w:val="ListParagraph"/>
        <w:numPr>
          <w:ilvl w:val="0"/>
          <w:numId w:val="2"/>
        </w:numPr>
        <w:spacing w:after="80" w:line="300"/>
      </w:pPr>
      <w:r>
        <w:rPr>
          <w:rFonts w:ascii="Calibri" w:cs="Calibri" w:eastAsia="Calibri" w:hAnsi="Calibri"/>
          <w:sz w:val="22"/>
          <w:szCs w:val="22"/>
        </w:rPr>
        <w:t xml:space="preserve">Markdown renderer (client-side, included in module).</w:t>
      </w:r>
    </w:p>
    <w:p>
      <w:pPr>
        <w:pStyle w:val="ListParagraph"/>
        <w:numPr>
          <w:ilvl w:val="0"/>
          <w:numId w:val="2"/>
        </w:numPr>
        <w:spacing w:after="80" w:line="300"/>
      </w:pPr>
      <w:r>
        <w:rPr>
          <w:rFonts w:ascii="Calibri" w:cs="Calibri" w:eastAsia="Calibri" w:hAnsi="Calibri"/>
          <w:sz w:val="22"/>
          <w:szCs w:val="22"/>
        </w:rPr>
        <w:t xml:space="preserve">Editorial design system (CSS tokens shared with broader AIBI brand).</w:t>
      </w:r>
    </w:p>
    <w:p>
      <w:pPr>
        <w:pStyle w:val="Heading2"/>
        <w:spacing w:after="160" w:before="360"/>
      </w:pPr>
      <w:r>
        <w:rPr>
          <w:rFonts w:ascii="Calibri" w:cs="Calibri" w:eastAsia="Calibri" w:hAnsi="Calibri"/>
          <w:b/>
          <w:bCs/>
          <w:color w:val="7A2A38"/>
          <w:sz w:val="28"/>
          <w:szCs w:val="28"/>
        </w:rPr>
        <w:t xml:space="preserve">9.3 Assumptions</w:t>
      </w:r>
    </w:p>
    <w:p>
      <w:pPr>
        <w:pStyle w:val="ListParagraph"/>
        <w:numPr>
          <w:ilvl w:val="0"/>
          <w:numId w:val="2"/>
        </w:numPr>
        <w:spacing w:after="80" w:line="300"/>
      </w:pPr>
      <w:r>
        <w:rPr>
          <w:rFonts w:ascii="Calibri" w:cs="Calibri" w:eastAsia="Calibri" w:hAnsi="Calibri"/>
          <w:sz w:val="22"/>
          <w:szCs w:val="22"/>
        </w:rPr>
        <w:t xml:space="preserve">Premium AIBI users are authenticated and identifiable to the LMS.</w:t>
      </w:r>
    </w:p>
    <w:p>
      <w:pPr>
        <w:pStyle w:val="ListParagraph"/>
        <w:numPr>
          <w:ilvl w:val="0"/>
          <w:numId w:val="2"/>
        </w:numPr>
        <w:spacing w:after="80" w:line="300"/>
      </w:pPr>
      <w:r>
        <w:rPr>
          <w:rFonts w:ascii="Calibri" w:cs="Calibri" w:eastAsia="Calibri" w:hAnsi="Calibri"/>
          <w:sz w:val="22"/>
          <w:szCs w:val="22"/>
        </w:rPr>
        <w:t xml:space="preserve">Most users access the module on desktop or laptop (mobile is supported but not optimized).</w:t>
      </w:r>
    </w:p>
    <w:p>
      <w:pPr>
        <w:pStyle w:val="ListParagraph"/>
        <w:numPr>
          <w:ilvl w:val="0"/>
          <w:numId w:val="2"/>
        </w:numPr>
        <w:spacing w:after="80" w:line="300"/>
      </w:pPr>
      <w:r>
        <w:rPr>
          <w:rFonts w:ascii="Calibri" w:cs="Calibri" w:eastAsia="Calibri" w:hAnsi="Calibri"/>
          <w:sz w:val="22"/>
          <w:szCs w:val="22"/>
        </w:rPr>
        <w:t xml:space="preserve">AIBI legal team has reviewed and approved the regulatory citation list embedded in the system prompt.</w:t>
      </w:r>
    </w:p>
    <w:p>
      <w:pPr>
        <w:pStyle w:val="ListParagraph"/>
        <w:numPr>
          <w:ilvl w:val="0"/>
          <w:numId w:val="2"/>
        </w:numPr>
        <w:spacing w:after="80" w:line="300"/>
      </w:pPr>
      <w:r>
        <w:rPr>
          <w:rFonts w:ascii="Calibri" w:cs="Calibri" w:eastAsia="Calibri" w:hAnsi="Calibri"/>
          <w:sz w:val="22"/>
          <w:szCs w:val="22"/>
        </w:rPr>
        <w:t xml:space="preserve">Skill content authored by AIBI editorial team passes compliance review before publication.</w:t>
      </w:r>
    </w:p>
    <w:p>
      <w:pPr>
        <w:pStyle w:val="Heading1"/>
        <w:pageBreakBefore/>
        <w:spacing w:after="240" w:before="480"/>
      </w:pPr>
      <w:r>
        <w:rPr>
          <w:rFonts w:ascii="Calibri" w:cs="Calibri" w:eastAsia="Calibri" w:hAnsi="Calibri"/>
          <w:b/>
          <w:bCs/>
          <w:color w:val="1A2332"/>
          <w:sz w:val="36"/>
          <w:szCs w:val="36"/>
        </w:rPr>
        <w:t xml:space="preserve">10. Phasing &amp; Rollout</w:t>
      </w:r>
    </w:p>
    <w:p>
      <w:pPr>
        <w:pStyle w:val="Heading2"/>
        <w:spacing w:after="160" w:before="360"/>
      </w:pPr>
      <w:r>
        <w:rPr>
          <w:rFonts w:ascii="Calibri" w:cs="Calibri" w:eastAsia="Calibri" w:hAnsi="Calibri"/>
          <w:b/>
          <w:bCs/>
          <w:color w:val="7A2A38"/>
          <w:sz w:val="28"/>
          <w:szCs w:val="28"/>
        </w:rPr>
        <w:t xml:space="preserve">10.1 Phase 1: Internal alpha (current)</w:t>
      </w:r>
    </w:p>
    <w:p>
      <w:pPr>
        <w:pStyle w:val="ListParagraph"/>
        <w:numPr>
          <w:ilvl w:val="0"/>
          <w:numId w:val="2"/>
        </w:numPr>
        <w:spacing w:after="80" w:line="300"/>
      </w:pPr>
      <w:r>
        <w:rPr>
          <w:rFonts w:ascii="Calibri" w:cs="Calibri" w:eastAsia="Calibri" w:hAnsi="Calibri"/>
          <w:sz w:val="22"/>
          <w:szCs w:val="22"/>
        </w:rPr>
        <w:t xml:space="preserve">Working prototype delivered as single-file HTML artifact (aibi-banking-playground.html).</w:t>
      </w:r>
    </w:p>
    <w:p>
      <w:pPr>
        <w:pStyle w:val="ListParagraph"/>
        <w:numPr>
          <w:ilvl w:val="0"/>
          <w:numId w:val="2"/>
        </w:numPr>
        <w:spacing w:after="80" w:line="300"/>
      </w:pPr>
      <w:r>
        <w:rPr>
          <w:rFonts w:ascii="Calibri" w:cs="Calibri" w:eastAsia="Calibri" w:hAnsi="Calibri"/>
          <w:sz w:val="22"/>
          <w:szCs w:val="22"/>
        </w:rPr>
        <w:t xml:space="preserve">Validated by Client Services Manager (PRD owner).</w:t>
      </w:r>
    </w:p>
    <w:p>
      <w:pPr>
        <w:pStyle w:val="ListParagraph"/>
        <w:numPr>
          <w:ilvl w:val="0"/>
          <w:numId w:val="2"/>
        </w:numPr>
        <w:spacing w:after="80" w:line="300"/>
      </w:pPr>
      <w:r>
        <w:rPr>
          <w:rFonts w:ascii="Calibri" w:cs="Calibri" w:eastAsia="Calibri" w:hAnsi="Calibri"/>
          <w:sz w:val="22"/>
          <w:szCs w:val="22"/>
        </w:rPr>
        <w:t xml:space="preserve">Anthropic API integrated with public endpoint for testing.</w:t>
      </w:r>
    </w:p>
    <w:p>
      <w:pPr>
        <w:pStyle w:val="Heading2"/>
        <w:spacing w:after="160" w:before="360"/>
      </w:pPr>
      <w:r>
        <w:rPr>
          <w:rFonts w:ascii="Calibri" w:cs="Calibri" w:eastAsia="Calibri" w:hAnsi="Calibri"/>
          <w:b/>
          <w:bCs/>
          <w:color w:val="7A2A38"/>
          <w:sz w:val="28"/>
          <w:szCs w:val="28"/>
        </w:rPr>
        <w:t xml:space="preserve">10.2 Phase 2: AIBI staff beta (4–6 weeks)</w:t>
      </w:r>
    </w:p>
    <w:p>
      <w:pPr>
        <w:pStyle w:val="ListParagraph"/>
        <w:numPr>
          <w:ilvl w:val="0"/>
          <w:numId w:val="2"/>
        </w:numPr>
        <w:spacing w:after="80" w:line="300"/>
      </w:pPr>
      <w:r>
        <w:rPr>
          <w:rFonts w:ascii="Calibri" w:cs="Calibri" w:eastAsia="Calibri" w:hAnsi="Calibri"/>
          <w:sz w:val="22"/>
          <w:szCs w:val="22"/>
        </w:rPr>
        <w:t xml:space="preserve">Module embedded in AIBI LMS as a feature-flagged module.</w:t>
      </w:r>
    </w:p>
    <w:p>
      <w:pPr>
        <w:pStyle w:val="ListParagraph"/>
        <w:numPr>
          <w:ilvl w:val="0"/>
          <w:numId w:val="2"/>
        </w:numPr>
        <w:spacing w:after="80" w:line="300"/>
      </w:pPr>
      <w:r>
        <w:rPr>
          <w:rFonts w:ascii="Calibri" w:cs="Calibri" w:eastAsia="Calibri" w:hAnsi="Calibri"/>
          <w:sz w:val="22"/>
          <w:szCs w:val="22"/>
        </w:rPr>
        <w:t xml:space="preserve">Backend API proxy implemented; client-side direct API calls removed.</w:t>
      </w:r>
    </w:p>
    <w:p>
      <w:pPr>
        <w:pStyle w:val="ListParagraph"/>
        <w:numPr>
          <w:ilvl w:val="0"/>
          <w:numId w:val="2"/>
        </w:numPr>
        <w:spacing w:after="80" w:line="300"/>
      </w:pPr>
      <w:r>
        <w:rPr>
          <w:rFonts w:ascii="Calibri" w:cs="Calibri" w:eastAsia="Calibri" w:hAnsi="Calibri"/>
          <w:sz w:val="22"/>
          <w:szCs w:val="22"/>
        </w:rPr>
        <w:t xml:space="preserve">Authentication tied to AIBI account.</w:t>
      </w:r>
    </w:p>
    <w:p>
      <w:pPr>
        <w:pStyle w:val="ListParagraph"/>
        <w:numPr>
          <w:ilvl w:val="0"/>
          <w:numId w:val="2"/>
        </w:numPr>
        <w:spacing w:after="80" w:line="300"/>
      </w:pPr>
      <w:r>
        <w:rPr>
          <w:rFonts w:ascii="Calibri" w:cs="Calibri" w:eastAsia="Calibri" w:hAnsi="Calibri"/>
          <w:sz w:val="22"/>
          <w:szCs w:val="22"/>
        </w:rPr>
        <w:t xml:space="preserve">AIBI staff and select advisor users invited to test.</w:t>
      </w:r>
    </w:p>
    <w:p>
      <w:pPr>
        <w:pStyle w:val="ListParagraph"/>
        <w:numPr>
          <w:ilvl w:val="0"/>
          <w:numId w:val="2"/>
        </w:numPr>
        <w:spacing w:after="80" w:line="300"/>
      </w:pPr>
      <w:r>
        <w:rPr>
          <w:rFonts w:ascii="Calibri" w:cs="Calibri" w:eastAsia="Calibri" w:hAnsi="Calibri"/>
          <w:sz w:val="22"/>
          <w:szCs w:val="22"/>
        </w:rPr>
        <w:t xml:space="preserve">Telemetry collection on activation, save, export rates.</w:t>
      </w:r>
    </w:p>
    <w:p>
      <w:pPr>
        <w:pStyle w:val="Heading2"/>
        <w:spacing w:after="160" w:before="360"/>
      </w:pPr>
      <w:r>
        <w:rPr>
          <w:rFonts w:ascii="Calibri" w:cs="Calibri" w:eastAsia="Calibri" w:hAnsi="Calibri"/>
          <w:b/>
          <w:bCs/>
          <w:color w:val="7A2A38"/>
          <w:sz w:val="28"/>
          <w:szCs w:val="28"/>
        </w:rPr>
        <w:t xml:space="preserve">10.3 Phase 3: Premium customer rollout (8–12 weeks after Phase 2)</w:t>
      </w:r>
    </w:p>
    <w:p>
      <w:pPr>
        <w:pStyle w:val="ListParagraph"/>
        <w:numPr>
          <w:ilvl w:val="0"/>
          <w:numId w:val="2"/>
        </w:numPr>
        <w:spacing w:after="80" w:line="300"/>
      </w:pPr>
      <w:r>
        <w:rPr>
          <w:rFonts w:ascii="Calibri" w:cs="Calibri" w:eastAsia="Calibri" w:hAnsi="Calibri"/>
          <w:sz w:val="22"/>
          <w:szCs w:val="22"/>
        </w:rPr>
        <w:t xml:space="preserve">Removed from feature flag for premium tier.</w:t>
      </w:r>
    </w:p>
    <w:p>
      <w:pPr>
        <w:pStyle w:val="ListParagraph"/>
        <w:numPr>
          <w:ilvl w:val="0"/>
          <w:numId w:val="2"/>
        </w:numPr>
        <w:spacing w:after="80" w:line="300"/>
      </w:pPr>
      <w:r>
        <w:rPr>
          <w:rFonts w:ascii="Calibri" w:cs="Calibri" w:eastAsia="Calibri" w:hAnsi="Calibri"/>
          <w:sz w:val="22"/>
          <w:szCs w:val="22"/>
        </w:rPr>
        <w:t xml:space="preserve">Onboarding email campaign to existing premium customers.</w:t>
      </w:r>
    </w:p>
    <w:p>
      <w:pPr>
        <w:pStyle w:val="ListParagraph"/>
        <w:numPr>
          <w:ilvl w:val="0"/>
          <w:numId w:val="2"/>
        </w:numPr>
        <w:spacing w:after="80" w:line="300"/>
      </w:pPr>
      <w:r>
        <w:rPr>
          <w:rFonts w:ascii="Calibri" w:cs="Calibri" w:eastAsia="Calibri" w:hAnsi="Calibri"/>
          <w:sz w:val="22"/>
          <w:szCs w:val="22"/>
        </w:rPr>
        <w:t xml:space="preserve">Live launch event / webinar walking through the module.</w:t>
      </w:r>
    </w:p>
    <w:p>
      <w:pPr>
        <w:pStyle w:val="ListParagraph"/>
        <w:numPr>
          <w:ilvl w:val="0"/>
          <w:numId w:val="2"/>
        </w:numPr>
        <w:spacing w:after="80" w:line="300"/>
      </w:pPr>
      <w:r>
        <w:rPr>
          <w:rFonts w:ascii="Calibri" w:cs="Calibri" w:eastAsia="Calibri" w:hAnsi="Calibri"/>
          <w:sz w:val="22"/>
          <w:szCs w:val="22"/>
        </w:rPr>
        <w:t xml:space="preserve">Cookbook content reviewed by external compliance advisor.</w:t>
      </w:r>
    </w:p>
    <w:p>
      <w:pPr>
        <w:pStyle w:val="Heading2"/>
        <w:spacing w:after="160" w:before="360"/>
      </w:pPr>
      <w:r>
        <w:rPr>
          <w:rFonts w:ascii="Calibri" w:cs="Calibri" w:eastAsia="Calibri" w:hAnsi="Calibri"/>
          <w:b/>
          <w:bCs/>
          <w:color w:val="7A2A38"/>
          <w:sz w:val="28"/>
          <w:szCs w:val="28"/>
        </w:rPr>
        <w:t xml:space="preserve">10.4 Phase 4: Iterations (ongoing)</w:t>
      </w:r>
    </w:p>
    <w:p>
      <w:pPr>
        <w:pStyle w:val="ListParagraph"/>
        <w:numPr>
          <w:ilvl w:val="0"/>
          <w:numId w:val="2"/>
        </w:numPr>
        <w:spacing w:after="80" w:line="300"/>
      </w:pPr>
      <w:r>
        <w:rPr>
          <w:rFonts w:ascii="Calibri" w:cs="Calibri" w:eastAsia="Calibri" w:hAnsi="Calibri"/>
          <w:sz w:val="22"/>
          <w:szCs w:val="22"/>
        </w:rPr>
        <w:t xml:space="preserve">Monthly Cookbook content additions (target: 5 new skills per month).</w:t>
      </w:r>
    </w:p>
    <w:p>
      <w:pPr>
        <w:pStyle w:val="ListParagraph"/>
        <w:numPr>
          <w:ilvl w:val="0"/>
          <w:numId w:val="2"/>
        </w:numPr>
        <w:spacing w:after="80" w:line="300"/>
      </w:pPr>
      <w:r>
        <w:rPr>
          <w:rFonts w:ascii="Calibri" w:cs="Calibri" w:eastAsia="Calibri" w:hAnsi="Calibri"/>
          <w:sz w:val="22"/>
          <w:szCs w:val="22"/>
        </w:rPr>
        <w:t xml:space="preserve">Quarterly model and prompt review (anti-hallucination rules and regulatory citations).</w:t>
      </w:r>
    </w:p>
    <w:p>
      <w:pPr>
        <w:pStyle w:val="ListParagraph"/>
        <w:numPr>
          <w:ilvl w:val="0"/>
          <w:numId w:val="2"/>
        </w:numPr>
        <w:spacing w:after="80" w:line="300"/>
      </w:pPr>
      <w:r>
        <w:rPr>
          <w:rFonts w:ascii="Calibri" w:cs="Calibri" w:eastAsia="Calibri" w:hAnsi="Calibri"/>
          <w:sz w:val="22"/>
          <w:szCs w:val="22"/>
        </w:rPr>
        <w:t xml:space="preserve">v1.5 mobile optimization.</w:t>
      </w:r>
    </w:p>
    <w:p>
      <w:pPr>
        <w:pStyle w:val="ListParagraph"/>
        <w:numPr>
          <w:ilvl w:val="0"/>
          <w:numId w:val="2"/>
        </w:numPr>
        <w:spacing w:after="80" w:line="300"/>
      </w:pPr>
      <w:r>
        <w:rPr>
          <w:rFonts w:ascii="Calibri" w:cs="Calibri" w:eastAsia="Calibri" w:hAnsi="Calibri"/>
          <w:sz w:val="22"/>
          <w:szCs w:val="22"/>
        </w:rPr>
        <w:t xml:space="preserve">v2 Prompt Builder companion module (same architectural pattern).</w:t>
      </w:r>
    </w:p>
    <w:p>
      <w:pPr>
        <w:pStyle w:val="Heading1"/>
        <w:pageBreakBefore/>
        <w:spacing w:after="240" w:before="480"/>
      </w:pPr>
      <w:r>
        <w:rPr>
          <w:rFonts w:ascii="Calibri" w:cs="Calibri" w:eastAsia="Calibri" w:hAnsi="Calibri"/>
          <w:b/>
          <w:bCs/>
          <w:color w:val="1A2332"/>
          <w:sz w:val="36"/>
          <w:szCs w:val="36"/>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1A2332" w:sz="1"/>
              <w:left w:val="single" w:color="1A2332" w:sz="1"/>
              <w:bottom w:val="single" w:color="1A2332" w:sz="1"/>
              <w:right w:val="single" w:color="1A2332" w:sz="1"/>
            </w:tcBorders>
            <w:shd w:fill="1A2332" w:val="clear"/>
            <w:tcMar>
              <w:top w:type="dxa" w:w="120"/>
              <w:left w:type="dxa" w:w="140"/>
              <w:bottom w:type="dxa" w:w="120"/>
              <w:right w:type="dxa" w:w="140"/>
            </w:tcMar>
          </w:tcPr>
          <w:p>
            <w:r>
              <w:rPr>
                <w:rFonts w:ascii="Calibri" w:cs="Calibri" w:eastAsia="Calibri" w:hAnsi="Calibri"/>
                <w:b/>
                <w:bCs/>
                <w:color w:val="FFFFFF"/>
                <w:spacing w:val="20"/>
                <w:sz w:val="18"/>
                <w:szCs w:val="18"/>
              </w:rPr>
              <w:t xml:space="preserve">Risk</w:t>
            </w:r>
          </w:p>
        </w:tc>
        <w:tc>
          <w:tcPr>
            <w:tcW w:type="dxa" w:w="1200"/>
            <w:tcBorders>
              <w:top w:val="single" w:color="1A2332" w:sz="1"/>
              <w:left w:val="single" w:color="1A2332" w:sz="1"/>
              <w:bottom w:val="single" w:color="1A2332" w:sz="1"/>
              <w:right w:val="single" w:color="1A2332" w:sz="1"/>
            </w:tcBorders>
            <w:shd w:fill="1A2332" w:val="clear"/>
            <w:tcMar>
              <w:top w:type="dxa" w:w="120"/>
              <w:left w:type="dxa" w:w="140"/>
              <w:bottom w:type="dxa" w:w="120"/>
              <w:right w:type="dxa" w:w="140"/>
            </w:tcMar>
          </w:tcPr>
          <w:p>
            <w:r>
              <w:rPr>
                <w:rFonts w:ascii="Calibri" w:cs="Calibri" w:eastAsia="Calibri" w:hAnsi="Calibri"/>
                <w:b/>
                <w:bCs/>
                <w:color w:val="FFFFFF"/>
                <w:spacing w:val="20"/>
                <w:sz w:val="18"/>
                <w:szCs w:val="18"/>
              </w:rPr>
              <w:t xml:space="preserve">Severity</w:t>
            </w:r>
          </w:p>
        </w:tc>
        <w:tc>
          <w:tcPr>
            <w:tcW w:type="dxa" w:w="5160"/>
            <w:tcBorders>
              <w:top w:val="single" w:color="1A2332" w:sz="1"/>
              <w:left w:val="single" w:color="1A2332" w:sz="1"/>
              <w:bottom w:val="single" w:color="1A2332" w:sz="1"/>
              <w:right w:val="single" w:color="1A2332" w:sz="1"/>
            </w:tcBorders>
            <w:shd w:fill="1A2332" w:val="clear"/>
            <w:tcMar>
              <w:top w:type="dxa" w:w="120"/>
              <w:left w:type="dxa" w:w="140"/>
              <w:bottom w:type="dxa" w:w="120"/>
              <w:right w:type="dxa" w:w="140"/>
            </w:tcMar>
          </w:tcPr>
          <w:p>
            <w:r>
              <w:rPr>
                <w:rFonts w:ascii="Calibri" w:cs="Calibri" w:eastAsia="Calibri" w:hAnsi="Calibri"/>
                <w:b/>
                <w:bCs/>
                <w:color w:val="FFFFFF"/>
                <w:spacing w:val="20"/>
                <w:sz w:val="18"/>
                <w:szCs w:val="18"/>
              </w:rPr>
              <w:t xml:space="preserve">Mitigation</w:t>
            </w:r>
          </w:p>
        </w:tc>
      </w:tr>
      <w:tr>
        <w:tc>
          <w:tcPr>
            <w:tcW w:type="dxa" w:w="30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Hallucinated regulatory citations from Claude undermine the module's teaching authority and create legal exposure for AIBI.</w:t>
            </w:r>
          </w:p>
        </w:tc>
        <w:tc>
          <w:tcPr>
            <w:tcW w:type="dxa" w:w="12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HIGH</w:t>
            </w:r>
          </w:p>
        </w:tc>
        <w:tc>
          <w:tcPr>
            <w:tcW w:type="dxa" w:w="516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Anti-hallucination rules built into system prompt. Citation allow-list maintained. Editorial review of all Cookbook scenarios. Quarterly prompt audit.</w:t>
            </w:r>
          </w:p>
        </w:tc>
      </w:tr>
      <w:tr>
        <w:tc>
          <w:tcPr>
            <w:tcW w:type="dxa" w:w="30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API cost overrun if usage exceeds projections.</w:t>
            </w:r>
          </w:p>
        </w:tc>
        <w:tc>
          <w:tcPr>
            <w:tcW w:type="dxa" w:w="12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MEDIUM</w:t>
            </w:r>
          </w:p>
        </w:tc>
        <w:tc>
          <w:tcPr>
            <w:tcW w:type="dxa" w:w="516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Backend proxy enforces per-user and per-institution rate limits. maxTokens capped at 8192. Monitoring dashboard for cost anomalies.</w:t>
            </w:r>
          </w:p>
        </w:tc>
      </w:tr>
      <w:tr>
        <w:tc>
          <w:tcPr>
            <w:tcW w:type="dxa" w:w="30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User enters real PII or member data in Playground despite warnings.</w:t>
            </w:r>
          </w:p>
        </w:tc>
        <w:tc>
          <w:tcPr>
            <w:tcW w:type="dxa" w:w="12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MEDIUM</w:t>
            </w:r>
          </w:p>
        </w:tc>
        <w:tc>
          <w:tcPr>
            <w:tcW w:type="dxa" w:w="516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Prominent warning in Playground header. Anti-hallucination prompt instructs Claude not to retain or echo PII. Logged-event review for data exposure incidents.</w:t>
            </w:r>
          </w:p>
        </w:tc>
      </w:tr>
      <w:tr>
        <w:tc>
          <w:tcPr>
            <w:tcW w:type="dxa" w:w="30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Premium customers don't see value differentiator over generic AI courses.</w:t>
            </w:r>
          </w:p>
        </w:tc>
        <w:tc>
          <w:tcPr>
            <w:tcW w:type="dxa" w:w="12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MEDIUM</w:t>
            </w:r>
          </w:p>
        </w:tc>
        <w:tc>
          <w:tcPr>
            <w:tcW w:type="dxa" w:w="516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Banking-specific Cookbook depth (15+ skills, growing). Regulatory rigor. Branded outputs that travel back to the institution. Compliance review badge.</w:t>
            </w:r>
          </w:p>
        </w:tc>
      </w:tr>
      <w:tr>
        <w:tc>
          <w:tcPr>
            <w:tcW w:type="dxa" w:w="30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Storage failures cause silent data loss in Toolbox.</w:t>
            </w:r>
          </w:p>
        </w:tc>
        <w:tc>
          <w:tcPr>
            <w:tcW w:type="dxa" w:w="12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MEDIUM</w:t>
            </w:r>
          </w:p>
        </w:tc>
        <w:tc>
          <w:tcPr>
            <w:tcW w:type="dxa" w:w="516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Three-tier storage abstraction with fallback. Error toasts on save failure. Future: server-side persistence in v2.</w:t>
            </w:r>
          </w:p>
        </w:tc>
      </w:tr>
      <w:tr>
        <w:tc>
          <w:tcPr>
            <w:tcW w:type="dxa" w:w="30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Anthropic API model deprecation breaks Playground.</w:t>
            </w:r>
          </w:p>
        </w:tc>
        <w:tc>
          <w:tcPr>
            <w:tcW w:type="dxa" w:w="12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LOW</w:t>
            </w:r>
          </w:p>
        </w:tc>
        <w:tc>
          <w:tcPr>
            <w:tcW w:type="dxa" w:w="516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Single CONFIG block makes model swap a one-line change. Quarterly review of model availability.</w:t>
            </w:r>
          </w:p>
        </w:tc>
      </w:tr>
      <w:tr>
        <w:tc>
          <w:tcPr>
            <w:tcW w:type="dxa" w:w="30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Compliance officer at a customer institution flags the methodology as unsafe.</w:t>
            </w:r>
          </w:p>
        </w:tc>
        <w:tc>
          <w:tcPr>
            <w:tcW w:type="dxa" w:w="12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LOW</w:t>
            </w:r>
          </w:p>
        </w:tc>
        <w:tc>
          <w:tcPr>
            <w:tcW w:type="dxa" w:w="516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External compliance advisor review prior to Phase 3. Conservative defaults on guardrails. Anti-hallucination rules explicit and demonstrable.</w:t>
            </w:r>
          </w:p>
        </w:tc>
      </w:tr>
    </w:tbl>
    <w:p>
      <w:pPr>
        <w:pStyle w:val="Heading1"/>
        <w:pageBreakBefore/>
        <w:spacing w:after="240" w:before="480"/>
      </w:pPr>
      <w:r>
        <w:rPr>
          <w:rFonts w:ascii="Calibri" w:cs="Calibri" w:eastAsia="Calibri" w:hAnsi="Calibri"/>
          <w:b/>
          <w:bCs/>
          <w:color w:val="1A2332"/>
          <w:sz w:val="36"/>
          <w:szCs w:val="36"/>
        </w:rPr>
        <w:t xml:space="preserve">12. Open Questions</w:t>
      </w:r>
    </w:p>
    <w:p>
      <w:pPr>
        <w:spacing w:after="160" w:line="320"/>
      </w:pPr>
      <w:r>
        <w:rPr>
          <w:rFonts w:ascii="Calibri" w:cs="Calibri" w:eastAsia="Calibri" w:hAnsi="Calibri"/>
          <w:sz w:val="22"/>
          <w:szCs w:val="22"/>
        </w:rPr>
        <w:t xml:space="preserve">Items requiring decisions before Phase 2 launch:</w:t>
      </w:r>
    </w:p>
    <w:p>
      <w:pPr>
        <w:pStyle w:val="ListParagraph"/>
        <w:numPr>
          <w:ilvl w:val="0"/>
          <w:numId w:val="3"/>
        </w:numPr>
        <w:spacing w:after="80" w:line="300"/>
      </w:pPr>
      <w:r>
        <w:rPr>
          <w:rFonts w:ascii="Calibri" w:cs="Calibri" w:eastAsia="Calibri" w:hAnsi="Calibri"/>
          <w:sz w:val="22"/>
          <w:szCs w:val="22"/>
        </w:rPr>
        <w:t xml:space="preserve">Backend proxy ownership. Will the AIBI engineering team build the proxy, or will it be outsourced? Decision needed before Phase 2 sprint planning.</w:t>
      </w:r>
    </w:p>
    <w:p>
      <w:pPr>
        <w:pStyle w:val="ListParagraph"/>
        <w:numPr>
          <w:ilvl w:val="0"/>
          <w:numId w:val="3"/>
        </w:numPr>
        <w:spacing w:after="80" w:line="300"/>
      </w:pPr>
      <w:r>
        <w:rPr>
          <w:rFonts w:ascii="Calibri" w:cs="Calibri" w:eastAsia="Calibri" w:hAnsi="Calibri"/>
          <w:sz w:val="22"/>
          <w:szCs w:val="22"/>
        </w:rPr>
        <w:t xml:space="preserve">Telemetry framework. Which analytics platform (Segment, Amplitude, custom) tracks the success metrics in Section 3.2?</w:t>
      </w:r>
    </w:p>
    <w:p>
      <w:pPr>
        <w:pStyle w:val="ListParagraph"/>
        <w:numPr>
          <w:ilvl w:val="0"/>
          <w:numId w:val="3"/>
        </w:numPr>
        <w:spacing w:after="80" w:line="300"/>
      </w:pPr>
      <w:r>
        <w:rPr>
          <w:rFonts w:ascii="Calibri" w:cs="Calibri" w:eastAsia="Calibri" w:hAnsi="Calibri"/>
          <w:sz w:val="22"/>
          <w:szCs w:val="22"/>
        </w:rPr>
        <w:t xml:space="preserve">Pricing model. Is module access included in existing premium tier, or a separate add-on SKU?</w:t>
      </w:r>
    </w:p>
    <w:p>
      <w:pPr>
        <w:pStyle w:val="ListParagraph"/>
        <w:numPr>
          <w:ilvl w:val="0"/>
          <w:numId w:val="3"/>
        </w:numPr>
        <w:spacing w:after="80" w:line="300"/>
      </w:pPr>
      <w:r>
        <w:rPr>
          <w:rFonts w:ascii="Calibri" w:cs="Calibri" w:eastAsia="Calibri" w:hAnsi="Calibri"/>
          <w:sz w:val="22"/>
          <w:szCs w:val="22"/>
        </w:rPr>
        <w:t xml:space="preserve">URL routing. Should each tab have a deep-linkable URL (/skill-builder/cookbook, /skill-builder/playground)? Useful for resume-where-you-left-off but adds LMS routing complexity.</w:t>
      </w:r>
    </w:p>
    <w:p>
      <w:pPr>
        <w:pStyle w:val="ListParagraph"/>
        <w:numPr>
          <w:ilvl w:val="0"/>
          <w:numId w:val="3"/>
        </w:numPr>
        <w:spacing w:after="80" w:line="300"/>
      </w:pPr>
      <w:r>
        <w:rPr>
          <w:rFonts w:ascii="Calibri" w:cs="Calibri" w:eastAsia="Calibri" w:hAnsi="Calibri"/>
          <w:sz w:val="22"/>
          <w:szCs w:val="22"/>
        </w:rPr>
        <w:t xml:space="preserve">Institution-level features in v2. When does collaborative Toolbox (shared between users in the same institution) become priority?</w:t>
      </w:r>
    </w:p>
    <w:p>
      <w:pPr>
        <w:pStyle w:val="ListParagraph"/>
        <w:numPr>
          <w:ilvl w:val="0"/>
          <w:numId w:val="3"/>
        </w:numPr>
        <w:spacing w:after="80" w:line="300"/>
      </w:pPr>
      <w:r>
        <w:rPr>
          <w:rFonts w:ascii="Calibri" w:cs="Calibri" w:eastAsia="Calibri" w:hAnsi="Calibri"/>
          <w:sz w:val="22"/>
          <w:szCs w:val="22"/>
        </w:rPr>
        <w:t xml:space="preserve">Skill content licensing. Are AIBI-authored Cookbook skills attributed and licensed for commercial use by customer institutions?</w:t>
      </w:r>
    </w:p>
    <w:p>
      <w:pPr>
        <w:pStyle w:val="ListParagraph"/>
        <w:numPr>
          <w:ilvl w:val="0"/>
          <w:numId w:val="3"/>
        </w:numPr>
        <w:spacing w:after="80" w:line="300"/>
      </w:pPr>
      <w:r>
        <w:rPr>
          <w:rFonts w:ascii="Calibri" w:cs="Calibri" w:eastAsia="Calibri" w:hAnsi="Calibri"/>
          <w:sz w:val="22"/>
          <w:szCs w:val="22"/>
        </w:rPr>
        <w:t xml:space="preserve">Compliance advisor selection. Who reviews the Cookbook scenarios prior to public launch?</w:t>
      </w:r>
    </w:p>
    <w:p>
      <w:pPr>
        <w:pStyle w:val="Heading1"/>
        <w:pageBreakBefore/>
        <w:spacing w:after="240" w:before="480"/>
      </w:pPr>
      <w:r>
        <w:rPr>
          <w:rFonts w:ascii="Calibri" w:cs="Calibri" w:eastAsia="Calibri" w:hAnsi="Calibri"/>
          <w:b/>
          <w:bCs/>
          <w:color w:val="1A2332"/>
          <w:sz w:val="36"/>
          <w:szCs w:val="36"/>
        </w:rPr>
        <w:t xml:space="preserve">13. Appendix</w:t>
      </w:r>
    </w:p>
    <w:p>
      <w:pPr>
        <w:pStyle w:val="Heading2"/>
        <w:spacing w:after="160" w:before="360"/>
      </w:pPr>
      <w:r>
        <w:rPr>
          <w:rFonts w:ascii="Calibri" w:cs="Calibri" w:eastAsia="Calibri" w:hAnsi="Calibri"/>
          <w:b/>
          <w:bCs/>
          <w:color w:val="7A2A38"/>
          <w:sz w:val="28"/>
          <w:szCs w:val="28"/>
        </w:rPr>
        <w:t xml:space="preserve">13.1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CE5D5" w:sz="1"/>
              <w:left w:val="none" w:color="FFFFFF" w:sz="0"/>
              <w:bottom w:val="single" w:color="ECE5D5" w:sz="1"/>
              <w:right w:val="none" w:color="FFFFFF" w:sz="0"/>
            </w:tcBorders>
            <w:tcMar>
              <w:top w:type="dxa" w:w="100"/>
              <w:left w:type="dxa" w:w="0"/>
              <w:bottom w:type="dxa" w:w="100"/>
              <w:right w:type="dxa" w:w="120"/>
            </w:tcMar>
          </w:tcPr>
          <w:p>
            <w:r>
              <w:rPr>
                <w:rFonts w:ascii="Calibri" w:cs="Calibri" w:eastAsia="Calibri" w:hAnsi="Calibri"/>
                <w:b/>
                <w:bCs/>
                <w:color w:val="1A2332"/>
                <w:sz w:val="22"/>
                <w:szCs w:val="22"/>
              </w:rPr>
              <w:t xml:space="preserve">Skill</w:t>
            </w:r>
          </w:p>
        </w:tc>
        <w:tc>
          <w:tcPr>
            <w:tcW w:type="dxa" w:w="6960"/>
            <w:tcBorders>
              <w:top w:val="single" w:color="ECE5D5" w:sz="1"/>
              <w:left w:val="none" w:color="FFFFFF" w:sz="0"/>
              <w:bottom w:val="single" w:color="ECE5D5" w:sz="1"/>
              <w:right w:val="none" w:color="FFFFFF" w:sz="0"/>
            </w:tcBorders>
            <w:tcMar>
              <w:top w:type="dxa" w:w="100"/>
              <w:left w:type="dxa" w:w="0"/>
              <w:bottom w:type="dxa" w:w="100"/>
              <w:right w:type="dxa" w:w="0"/>
            </w:tcMar>
          </w:tcPr>
          <w:p>
            <w:r>
              <w:rPr>
                <w:rFonts w:ascii="Calibri" w:cs="Calibri" w:eastAsia="Calibri" w:hAnsi="Calibri"/>
                <w:color w:val="2D3B4D"/>
                <w:sz w:val="22"/>
                <w:szCs w:val="22"/>
              </w:rPr>
              <w:t xml:space="preserve">A saved instruction file (Markdown with YAML frontmatter) that Claude reads when invoked by a trigger phrase.</w:t>
            </w:r>
          </w:p>
        </w:tc>
      </w:tr>
      <w:tr>
        <w:tc>
          <w:tcPr>
            <w:tcW w:type="dxa" w:w="2400"/>
            <w:tcBorders>
              <w:top w:val="single" w:color="ECE5D5" w:sz="1"/>
              <w:left w:val="none" w:color="FFFFFF" w:sz="0"/>
              <w:bottom w:val="single" w:color="ECE5D5" w:sz="1"/>
              <w:right w:val="none" w:color="FFFFFF" w:sz="0"/>
            </w:tcBorders>
            <w:tcMar>
              <w:top w:type="dxa" w:w="100"/>
              <w:left w:type="dxa" w:w="0"/>
              <w:bottom w:type="dxa" w:w="100"/>
              <w:right w:type="dxa" w:w="120"/>
            </w:tcMar>
          </w:tcPr>
          <w:p>
            <w:r>
              <w:rPr>
                <w:rFonts w:ascii="Calibri" w:cs="Calibri" w:eastAsia="Calibri" w:hAnsi="Calibri"/>
                <w:b/>
                <w:bCs/>
                <w:color w:val="1A2332"/>
                <w:sz w:val="22"/>
                <w:szCs w:val="22"/>
              </w:rPr>
              <w:t xml:space="preserve">Toolbox</w:t>
            </w:r>
          </w:p>
        </w:tc>
        <w:tc>
          <w:tcPr>
            <w:tcW w:type="dxa" w:w="6960"/>
            <w:tcBorders>
              <w:top w:val="single" w:color="ECE5D5" w:sz="1"/>
              <w:left w:val="none" w:color="FFFFFF" w:sz="0"/>
              <w:bottom w:val="single" w:color="ECE5D5" w:sz="1"/>
              <w:right w:val="none" w:color="FFFFFF" w:sz="0"/>
            </w:tcBorders>
            <w:tcMar>
              <w:top w:type="dxa" w:w="100"/>
              <w:left w:type="dxa" w:w="0"/>
              <w:bottom w:type="dxa" w:w="100"/>
              <w:right w:type="dxa" w:w="0"/>
            </w:tcMar>
          </w:tcPr>
          <w:p>
            <w:r>
              <w:rPr>
                <w:rFonts w:ascii="Calibri" w:cs="Calibri" w:eastAsia="Calibri" w:hAnsi="Calibri"/>
                <w:color w:val="2D3B4D"/>
                <w:sz w:val="22"/>
                <w:szCs w:val="22"/>
              </w:rPr>
              <w:t xml:space="preserve">A user's saved skills library; persists across sessions.</w:t>
            </w:r>
          </w:p>
        </w:tc>
      </w:tr>
      <w:tr>
        <w:tc>
          <w:tcPr>
            <w:tcW w:type="dxa" w:w="2400"/>
            <w:tcBorders>
              <w:top w:val="single" w:color="ECE5D5" w:sz="1"/>
              <w:left w:val="none" w:color="FFFFFF" w:sz="0"/>
              <w:bottom w:val="single" w:color="ECE5D5" w:sz="1"/>
              <w:right w:val="none" w:color="FFFFFF" w:sz="0"/>
            </w:tcBorders>
            <w:tcMar>
              <w:top w:type="dxa" w:w="100"/>
              <w:left w:type="dxa" w:w="0"/>
              <w:bottom w:type="dxa" w:w="100"/>
              <w:right w:type="dxa" w:w="120"/>
            </w:tcMar>
          </w:tcPr>
          <w:p>
            <w:r>
              <w:rPr>
                <w:rFonts w:ascii="Calibri" w:cs="Calibri" w:eastAsia="Calibri" w:hAnsi="Calibri"/>
                <w:b/>
                <w:bCs/>
                <w:color w:val="1A2332"/>
                <w:sz w:val="22"/>
                <w:szCs w:val="22"/>
              </w:rPr>
              <w:t xml:space="preserve">Cookbook</w:t>
            </w:r>
          </w:p>
        </w:tc>
        <w:tc>
          <w:tcPr>
            <w:tcW w:type="dxa" w:w="6960"/>
            <w:tcBorders>
              <w:top w:val="single" w:color="ECE5D5" w:sz="1"/>
              <w:left w:val="none" w:color="FFFFFF" w:sz="0"/>
              <w:bottom w:val="single" w:color="ECE5D5" w:sz="1"/>
              <w:right w:val="none" w:color="FFFFFF" w:sz="0"/>
            </w:tcBorders>
            <w:tcMar>
              <w:top w:type="dxa" w:w="100"/>
              <w:left w:type="dxa" w:w="0"/>
              <w:bottom w:type="dxa" w:w="100"/>
              <w:right w:type="dxa" w:w="0"/>
            </w:tcMar>
          </w:tcPr>
          <w:p>
            <w:r>
              <w:rPr>
                <w:rFonts w:ascii="Calibri" w:cs="Calibri" w:eastAsia="Calibri" w:hAnsi="Calibri"/>
                <w:color w:val="2D3B4D"/>
                <w:sz w:val="22"/>
                <w:szCs w:val="22"/>
              </w:rPr>
              <w:t xml:space="preserve">AIBI's library of pre-built banking skill templates.</w:t>
            </w:r>
          </w:p>
        </w:tc>
      </w:tr>
      <w:tr>
        <w:tc>
          <w:tcPr>
            <w:tcW w:type="dxa" w:w="2400"/>
            <w:tcBorders>
              <w:top w:val="single" w:color="ECE5D5" w:sz="1"/>
              <w:left w:val="none" w:color="FFFFFF" w:sz="0"/>
              <w:bottom w:val="single" w:color="ECE5D5" w:sz="1"/>
              <w:right w:val="none" w:color="FFFFFF" w:sz="0"/>
            </w:tcBorders>
            <w:tcMar>
              <w:top w:type="dxa" w:w="100"/>
              <w:left w:type="dxa" w:w="0"/>
              <w:bottom w:type="dxa" w:w="100"/>
              <w:right w:type="dxa" w:w="120"/>
            </w:tcMar>
          </w:tcPr>
          <w:p>
            <w:r>
              <w:rPr>
                <w:rFonts w:ascii="Calibri" w:cs="Calibri" w:eastAsia="Calibri" w:hAnsi="Calibri"/>
                <w:b/>
                <w:bCs/>
                <w:color w:val="1A2332"/>
                <w:sz w:val="22"/>
                <w:szCs w:val="22"/>
              </w:rPr>
              <w:t xml:space="preserve">Playground</w:t>
            </w:r>
          </w:p>
        </w:tc>
        <w:tc>
          <w:tcPr>
            <w:tcW w:type="dxa" w:w="6960"/>
            <w:tcBorders>
              <w:top w:val="single" w:color="ECE5D5" w:sz="1"/>
              <w:left w:val="none" w:color="FFFFFF" w:sz="0"/>
              <w:bottom w:val="single" w:color="ECE5D5" w:sz="1"/>
              <w:right w:val="none" w:color="FFFFFF" w:sz="0"/>
            </w:tcBorders>
            <w:tcMar>
              <w:top w:type="dxa" w:w="100"/>
              <w:left w:type="dxa" w:w="0"/>
              <w:bottom w:type="dxa" w:w="100"/>
              <w:right w:type="dxa" w:w="0"/>
            </w:tcMar>
          </w:tcPr>
          <w:p>
            <w:r>
              <w:rPr>
                <w:rFonts w:ascii="Calibri" w:cs="Calibri" w:eastAsia="Calibri" w:hAnsi="Calibri"/>
                <w:color w:val="2D3B4D"/>
                <w:sz w:val="22"/>
                <w:szCs w:val="22"/>
              </w:rPr>
              <w:t xml:space="preserve">The live API-powered testing surface for skills.</w:t>
            </w:r>
          </w:p>
        </w:tc>
      </w:tr>
      <w:tr>
        <w:tc>
          <w:tcPr>
            <w:tcW w:type="dxa" w:w="2400"/>
            <w:tcBorders>
              <w:top w:val="single" w:color="ECE5D5" w:sz="1"/>
              <w:left w:val="none" w:color="FFFFFF" w:sz="0"/>
              <w:bottom w:val="single" w:color="ECE5D5" w:sz="1"/>
              <w:right w:val="none" w:color="FFFFFF" w:sz="0"/>
            </w:tcBorders>
            <w:tcMar>
              <w:top w:type="dxa" w:w="100"/>
              <w:left w:type="dxa" w:w="0"/>
              <w:bottom w:type="dxa" w:w="100"/>
              <w:right w:type="dxa" w:w="120"/>
            </w:tcMar>
          </w:tcPr>
          <w:p>
            <w:r>
              <w:rPr>
                <w:rFonts w:ascii="Calibri" w:cs="Calibri" w:eastAsia="Calibri" w:hAnsi="Calibri"/>
                <w:b/>
                <w:bCs/>
                <w:color w:val="1A2332"/>
                <w:sz w:val="22"/>
                <w:szCs w:val="22"/>
              </w:rPr>
              <w:t xml:space="preserve">Trigger phrase</w:t>
            </w:r>
          </w:p>
        </w:tc>
        <w:tc>
          <w:tcPr>
            <w:tcW w:type="dxa" w:w="6960"/>
            <w:tcBorders>
              <w:top w:val="single" w:color="ECE5D5" w:sz="1"/>
              <w:left w:val="none" w:color="FFFFFF" w:sz="0"/>
              <w:bottom w:val="single" w:color="ECE5D5" w:sz="1"/>
              <w:right w:val="none" w:color="FFFFFF" w:sz="0"/>
            </w:tcBorders>
            <w:tcMar>
              <w:top w:type="dxa" w:w="100"/>
              <w:left w:type="dxa" w:w="0"/>
              <w:bottom w:type="dxa" w:w="100"/>
              <w:right w:type="dxa" w:w="0"/>
            </w:tcMar>
          </w:tcPr>
          <w:p>
            <w:r>
              <w:rPr>
                <w:rFonts w:ascii="Calibri" w:cs="Calibri" w:eastAsia="Calibri" w:hAnsi="Calibri"/>
                <w:color w:val="2D3B4D"/>
                <w:sz w:val="22"/>
                <w:szCs w:val="22"/>
              </w:rPr>
              <w:t xml:space="preserve">A short shortcut (typically /skill-name) that invokes a skill.</w:t>
            </w:r>
          </w:p>
        </w:tc>
      </w:tr>
      <w:tr>
        <w:tc>
          <w:tcPr>
            <w:tcW w:type="dxa" w:w="2400"/>
            <w:tcBorders>
              <w:top w:val="single" w:color="ECE5D5" w:sz="1"/>
              <w:left w:val="none" w:color="FFFFFF" w:sz="0"/>
              <w:bottom w:val="single" w:color="ECE5D5" w:sz="1"/>
              <w:right w:val="none" w:color="FFFFFF" w:sz="0"/>
            </w:tcBorders>
            <w:tcMar>
              <w:top w:type="dxa" w:w="100"/>
              <w:left w:type="dxa" w:w="0"/>
              <w:bottom w:type="dxa" w:w="100"/>
              <w:right w:type="dxa" w:w="120"/>
            </w:tcMar>
          </w:tcPr>
          <w:p>
            <w:r>
              <w:rPr>
                <w:rFonts w:ascii="Calibri" w:cs="Calibri" w:eastAsia="Calibri" w:hAnsi="Calibri"/>
                <w:b/>
                <w:bCs/>
                <w:color w:val="1A2332"/>
                <w:sz w:val="22"/>
                <w:szCs w:val="22"/>
              </w:rPr>
              <w:t xml:space="preserve">Connector</w:t>
            </w:r>
          </w:p>
        </w:tc>
        <w:tc>
          <w:tcPr>
            <w:tcW w:type="dxa" w:w="6960"/>
            <w:tcBorders>
              <w:top w:val="single" w:color="ECE5D5" w:sz="1"/>
              <w:left w:val="none" w:color="FFFFFF" w:sz="0"/>
              <w:bottom w:val="single" w:color="ECE5D5" w:sz="1"/>
              <w:right w:val="none" w:color="FFFFFF" w:sz="0"/>
            </w:tcBorders>
            <w:tcMar>
              <w:top w:type="dxa" w:w="100"/>
              <w:left w:type="dxa" w:w="0"/>
              <w:bottom w:type="dxa" w:w="100"/>
              <w:right w:type="dxa" w:w="0"/>
            </w:tcMar>
          </w:tcPr>
          <w:p>
            <w:r>
              <w:rPr>
                <w:rFonts w:ascii="Calibri" w:cs="Calibri" w:eastAsia="Calibri" w:hAnsi="Calibri"/>
                <w:color w:val="2D3B4D"/>
                <w:sz w:val="22"/>
                <w:szCs w:val="22"/>
              </w:rPr>
              <w:t xml:space="preserve">An external integration (Gmail, Drive, CRM) that supplies live data to a skill.</w:t>
            </w:r>
          </w:p>
        </w:tc>
      </w:tr>
      <w:tr>
        <w:tc>
          <w:tcPr>
            <w:tcW w:type="dxa" w:w="2400"/>
            <w:tcBorders>
              <w:top w:val="single" w:color="ECE5D5" w:sz="1"/>
              <w:left w:val="none" w:color="FFFFFF" w:sz="0"/>
              <w:bottom w:val="single" w:color="ECE5D5" w:sz="1"/>
              <w:right w:val="none" w:color="FFFFFF" w:sz="0"/>
            </w:tcBorders>
            <w:tcMar>
              <w:top w:type="dxa" w:w="100"/>
              <w:left w:type="dxa" w:w="0"/>
              <w:bottom w:type="dxa" w:w="100"/>
              <w:right w:type="dxa" w:w="120"/>
            </w:tcMar>
          </w:tcPr>
          <w:p>
            <w:r>
              <w:rPr>
                <w:rFonts w:ascii="Calibri" w:cs="Calibri" w:eastAsia="Calibri" w:hAnsi="Calibri"/>
                <w:b/>
                <w:bCs/>
                <w:color w:val="1A2332"/>
                <w:sz w:val="22"/>
                <w:szCs w:val="22"/>
              </w:rPr>
              <w:t xml:space="preserve">Guardrail</w:t>
            </w:r>
          </w:p>
        </w:tc>
        <w:tc>
          <w:tcPr>
            <w:tcW w:type="dxa" w:w="6960"/>
            <w:tcBorders>
              <w:top w:val="single" w:color="ECE5D5" w:sz="1"/>
              <w:left w:val="none" w:color="FFFFFF" w:sz="0"/>
              <w:bottom w:val="single" w:color="ECE5D5" w:sz="1"/>
              <w:right w:val="none" w:color="FFFFFF" w:sz="0"/>
            </w:tcBorders>
            <w:tcMar>
              <w:top w:type="dxa" w:w="100"/>
              <w:left w:type="dxa" w:w="0"/>
              <w:bottom w:type="dxa" w:w="100"/>
              <w:right w:type="dxa" w:w="0"/>
            </w:tcMar>
          </w:tcPr>
          <w:p>
            <w:r>
              <w:rPr>
                <w:rFonts w:ascii="Calibri" w:cs="Calibri" w:eastAsia="Calibri" w:hAnsi="Calibri"/>
                <w:color w:val="2D3B4D"/>
                <w:sz w:val="22"/>
                <w:szCs w:val="22"/>
              </w:rPr>
              <w:t xml:space="preserve">An institutional rule that the skill must not violate.</w:t>
            </w:r>
          </w:p>
        </w:tc>
      </w:tr>
      <w:tr>
        <w:tc>
          <w:tcPr>
            <w:tcW w:type="dxa" w:w="2400"/>
            <w:tcBorders>
              <w:top w:val="single" w:color="ECE5D5" w:sz="1"/>
              <w:left w:val="none" w:color="FFFFFF" w:sz="0"/>
              <w:bottom w:val="single" w:color="ECE5D5" w:sz="1"/>
              <w:right w:val="none" w:color="FFFFFF" w:sz="0"/>
            </w:tcBorders>
            <w:tcMar>
              <w:top w:type="dxa" w:w="100"/>
              <w:left w:type="dxa" w:w="0"/>
              <w:bottom w:type="dxa" w:w="100"/>
              <w:right w:type="dxa" w:w="120"/>
            </w:tcMar>
          </w:tcPr>
          <w:p>
            <w:r>
              <w:rPr>
                <w:rFonts w:ascii="Calibri" w:cs="Calibri" w:eastAsia="Calibri" w:hAnsi="Calibri"/>
                <w:b/>
                <w:bCs/>
                <w:color w:val="1A2332"/>
                <w:sz w:val="22"/>
                <w:szCs w:val="22"/>
              </w:rPr>
              <w:t xml:space="preserve">Maturity</w:t>
            </w:r>
          </w:p>
        </w:tc>
        <w:tc>
          <w:tcPr>
            <w:tcW w:type="dxa" w:w="6960"/>
            <w:tcBorders>
              <w:top w:val="single" w:color="ECE5D5" w:sz="1"/>
              <w:left w:val="none" w:color="FFFFFF" w:sz="0"/>
              <w:bottom w:val="single" w:color="ECE5D5" w:sz="1"/>
              <w:right w:val="none" w:color="FFFFFF" w:sz="0"/>
            </w:tcBorders>
            <w:tcMar>
              <w:top w:type="dxa" w:w="100"/>
              <w:left w:type="dxa" w:w="0"/>
              <w:bottom w:type="dxa" w:w="100"/>
              <w:right w:type="dxa" w:w="0"/>
            </w:tcMar>
          </w:tcPr>
          <w:p>
            <w:r>
              <w:rPr>
                <w:rFonts w:ascii="Calibri" w:cs="Calibri" w:eastAsia="Calibri" w:hAnsi="Calibri"/>
                <w:color w:val="2D3B4D"/>
                <w:sz w:val="22"/>
                <w:szCs w:val="22"/>
              </w:rPr>
              <w:t xml:space="preserve">Skill lifecycle stage — draft, pilot, or production.</w:t>
            </w:r>
          </w:p>
        </w:tc>
      </w:tr>
      <w:tr>
        <w:tc>
          <w:tcPr>
            <w:tcW w:type="dxa" w:w="2400"/>
            <w:tcBorders>
              <w:top w:val="single" w:color="ECE5D5" w:sz="1"/>
              <w:left w:val="none" w:color="FFFFFF" w:sz="0"/>
              <w:bottom w:val="single" w:color="ECE5D5" w:sz="1"/>
              <w:right w:val="none" w:color="FFFFFF" w:sz="0"/>
            </w:tcBorders>
            <w:tcMar>
              <w:top w:type="dxa" w:w="100"/>
              <w:left w:type="dxa" w:w="0"/>
              <w:bottom w:type="dxa" w:w="100"/>
              <w:right w:type="dxa" w:w="120"/>
            </w:tcMar>
          </w:tcPr>
          <w:p>
            <w:r>
              <w:rPr>
                <w:rFonts w:ascii="Calibri" w:cs="Calibri" w:eastAsia="Calibri" w:hAnsi="Calibri"/>
                <w:b/>
                <w:bCs/>
                <w:color w:val="1A2332"/>
                <w:sz w:val="22"/>
                <w:szCs w:val="22"/>
              </w:rPr>
              <w:t xml:space="preserve">Scenario</w:t>
            </w:r>
          </w:p>
        </w:tc>
        <w:tc>
          <w:tcPr>
            <w:tcW w:type="dxa" w:w="6960"/>
            <w:tcBorders>
              <w:top w:val="single" w:color="ECE5D5" w:sz="1"/>
              <w:left w:val="none" w:color="FFFFFF" w:sz="0"/>
              <w:bottom w:val="single" w:color="ECE5D5" w:sz="1"/>
              <w:right w:val="none" w:color="FFFFFF" w:sz="0"/>
            </w:tcBorders>
            <w:tcMar>
              <w:top w:type="dxa" w:w="100"/>
              <w:left w:type="dxa" w:w="0"/>
              <w:bottom w:type="dxa" w:w="100"/>
              <w:right w:type="dxa" w:w="0"/>
            </w:tcMar>
          </w:tcPr>
          <w:p>
            <w:r>
              <w:rPr>
                <w:rFonts w:ascii="Calibri" w:cs="Calibri" w:eastAsia="Calibri" w:hAnsi="Calibri"/>
                <w:color w:val="2D3B4D"/>
                <w:sz w:val="22"/>
                <w:szCs w:val="22"/>
              </w:rPr>
              <w:t xml:space="preserve">A pre-loaded fabricated test case for a Cookbook skill.</w:t>
            </w:r>
          </w:p>
        </w:tc>
      </w:tr>
      <w:tr>
        <w:tc>
          <w:tcPr>
            <w:tcW w:type="dxa" w:w="2400"/>
            <w:tcBorders>
              <w:top w:val="single" w:color="ECE5D5" w:sz="1"/>
              <w:left w:val="none" w:color="FFFFFF" w:sz="0"/>
              <w:bottom w:val="single" w:color="ECE5D5" w:sz="1"/>
              <w:right w:val="none" w:color="FFFFFF" w:sz="0"/>
            </w:tcBorders>
            <w:tcMar>
              <w:top w:type="dxa" w:w="100"/>
              <w:left w:type="dxa" w:w="0"/>
              <w:bottom w:type="dxa" w:w="100"/>
              <w:right w:type="dxa" w:w="120"/>
            </w:tcMar>
          </w:tcPr>
          <w:p>
            <w:r>
              <w:rPr>
                <w:rFonts w:ascii="Calibri" w:cs="Calibri" w:eastAsia="Calibri" w:hAnsi="Calibri"/>
                <w:b/>
                <w:bCs/>
                <w:color w:val="1A2332"/>
                <w:sz w:val="22"/>
                <w:szCs w:val="22"/>
              </w:rPr>
              <w:t xml:space="preserve">Cowork</w:t>
            </w:r>
          </w:p>
        </w:tc>
        <w:tc>
          <w:tcPr>
            <w:tcW w:type="dxa" w:w="6960"/>
            <w:tcBorders>
              <w:top w:val="single" w:color="ECE5D5" w:sz="1"/>
              <w:left w:val="none" w:color="FFFFFF" w:sz="0"/>
              <w:bottom w:val="single" w:color="ECE5D5" w:sz="1"/>
              <w:right w:val="none" w:color="FFFFFF" w:sz="0"/>
            </w:tcBorders>
            <w:tcMar>
              <w:top w:type="dxa" w:w="100"/>
              <w:left w:type="dxa" w:w="0"/>
              <w:bottom w:type="dxa" w:w="100"/>
              <w:right w:type="dxa" w:w="0"/>
            </w:tcMar>
          </w:tcPr>
          <w:p>
            <w:r>
              <w:rPr>
                <w:rFonts w:ascii="Calibri" w:cs="Calibri" w:eastAsia="Calibri" w:hAnsi="Calibri"/>
                <w:color w:val="2D3B4D"/>
                <w:sz w:val="22"/>
                <w:szCs w:val="22"/>
              </w:rPr>
              <w:t xml:space="preserve">Anthropic's autonomous mode — one possible deployment path for skills.</w:t>
            </w:r>
          </w:p>
        </w:tc>
      </w:tr>
    </w:tbl>
    <w:p>
      <w:pPr>
        <w:pStyle w:val="Heading2"/>
        <w:spacing w:after="160" w:before="360"/>
      </w:pPr>
      <w:r>
        <w:rPr>
          <w:rFonts w:ascii="Calibri" w:cs="Calibri" w:eastAsia="Calibri" w:hAnsi="Calibri"/>
          <w:b/>
          <w:bCs/>
          <w:color w:val="7A2A38"/>
          <w:sz w:val="28"/>
          <w:szCs w:val="28"/>
        </w:rPr>
        <w:t xml:space="preserve">13.2 Cookbook skill index (v1)</w:t>
      </w:r>
    </w:p>
    <w:p>
      <w:pPr>
        <w:spacing w:after="160" w:line="320"/>
      </w:pPr>
      <w:r>
        <w:rPr>
          <w:rFonts w:ascii="Calibri" w:cs="Calibri" w:eastAsia="Calibri" w:hAnsi="Calibri"/>
          <w:sz w:val="22"/>
          <w:szCs w:val="22"/>
        </w:rPr>
        <w:t xml:space="preserve">The 15 skills shipped in v1 of the Cookbook, organized by department: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2332" w:sz="1"/>
              <w:left w:val="single" w:color="1A2332" w:sz="1"/>
              <w:bottom w:val="single" w:color="1A2332" w:sz="1"/>
              <w:right w:val="single" w:color="1A2332" w:sz="1"/>
            </w:tcBorders>
            <w:shd w:fill="1A2332" w:val="clear"/>
            <w:tcMar>
              <w:top w:type="dxa" w:w="120"/>
              <w:left w:type="dxa" w:w="140"/>
              <w:bottom w:type="dxa" w:w="120"/>
              <w:right w:type="dxa" w:w="140"/>
            </w:tcMar>
          </w:tcPr>
          <w:p>
            <w:r>
              <w:rPr>
                <w:rFonts w:ascii="Calibri" w:cs="Calibri" w:eastAsia="Calibri" w:hAnsi="Calibri"/>
                <w:b/>
                <w:bCs/>
                <w:color w:val="FFFFFF"/>
                <w:spacing w:val="20"/>
                <w:sz w:val="18"/>
                <w:szCs w:val="18"/>
              </w:rPr>
              <w:t xml:space="preserve">Department</w:t>
            </w:r>
          </w:p>
        </w:tc>
        <w:tc>
          <w:tcPr>
            <w:tcW w:type="dxa" w:w="6360"/>
            <w:tcBorders>
              <w:top w:val="single" w:color="1A2332" w:sz="1"/>
              <w:left w:val="single" w:color="1A2332" w:sz="1"/>
              <w:bottom w:val="single" w:color="1A2332" w:sz="1"/>
              <w:right w:val="single" w:color="1A2332" w:sz="1"/>
            </w:tcBorders>
            <w:shd w:fill="1A2332" w:val="clear"/>
            <w:tcMar>
              <w:top w:type="dxa" w:w="120"/>
              <w:left w:type="dxa" w:w="140"/>
              <w:bottom w:type="dxa" w:w="120"/>
              <w:right w:type="dxa" w:w="140"/>
            </w:tcMar>
          </w:tcPr>
          <w:p>
            <w:r>
              <w:rPr>
                <w:rFonts w:ascii="Calibri" w:cs="Calibri" w:eastAsia="Calibri" w:hAnsi="Calibri"/>
                <w:b/>
                <w:bCs/>
                <w:color w:val="FFFFFF"/>
                <w:spacing w:val="20"/>
                <w:sz w:val="18"/>
                <w:szCs w:val="18"/>
              </w:rPr>
              <w:t xml:space="preserve">Skills</w:t>
            </w:r>
          </w:p>
        </w:tc>
      </w:tr>
      <w:tr>
        <w:tc>
          <w:tcPr>
            <w:tcW w:type="dxa" w:w="30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Compliance &amp; BSA/AML</w:t>
            </w:r>
          </w:p>
        </w:tc>
        <w:tc>
          <w:tcPr>
            <w:tcW w:type="dxa" w:w="636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/exam-prep · /sar-narrative · /reg-change-brief</w:t>
            </w:r>
          </w:p>
        </w:tc>
      </w:tr>
      <w:tr>
        <w:tc>
          <w:tcPr>
            <w:tcW w:type="dxa" w:w="30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Lending &amp; Underwriting</w:t>
            </w:r>
          </w:p>
        </w:tc>
        <w:tc>
          <w:tcPr>
            <w:tcW w:type="dxa" w:w="636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/credit-memo · /covenant-watch · /loan-decision</w:t>
            </w:r>
          </w:p>
        </w:tc>
      </w:tr>
      <w:tr>
        <w:tc>
          <w:tcPr>
            <w:tcW w:type="dxa" w:w="30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Relationship Management</w:t>
            </w:r>
          </w:p>
        </w:tc>
        <w:tc>
          <w:tcPr>
            <w:tcW w:type="dxa" w:w="636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/pipeline-review · /pre-call-prep</w:t>
            </w:r>
          </w:p>
        </w:tc>
      </w:tr>
      <w:tr>
        <w:tc>
          <w:tcPr>
            <w:tcW w:type="dxa" w:w="30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Finance &amp; Treasury</w:t>
            </w:r>
          </w:p>
        </w:tc>
        <w:tc>
          <w:tcPr>
            <w:tcW w:type="dxa" w:w="636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/rate-memo</w:t>
            </w:r>
          </w:p>
        </w:tc>
      </w:tr>
      <w:tr>
        <w:tc>
          <w:tcPr>
            <w:tcW w:type="dxa" w:w="30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Executive &amp; Board Reporting</w:t>
            </w:r>
          </w:p>
        </w:tc>
        <w:tc>
          <w:tcPr>
            <w:tcW w:type="dxa" w:w="636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/board-package · /strategic-update</w:t>
            </w:r>
          </w:p>
        </w:tc>
      </w:tr>
      <w:tr>
        <w:tc>
          <w:tcPr>
            <w:tcW w:type="dxa" w:w="30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Operations &amp; Retail Banking</w:t>
            </w:r>
          </w:p>
        </w:tc>
        <w:tc>
          <w:tcPr>
            <w:tcW w:type="dxa" w:w="636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/member-complaint · /branch-performance</w:t>
            </w:r>
          </w:p>
        </w:tc>
      </w:tr>
      <w:tr>
        <w:tc>
          <w:tcPr>
            <w:tcW w:type="dxa" w:w="300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Marketing &amp; Member Experience</w:t>
            </w:r>
          </w:p>
        </w:tc>
        <w:tc>
          <w:tcPr>
            <w:tcW w:type="dxa" w:w="6360"/>
            <w:tcBorders>
              <w:top w:val="single" w:color="ECE5D5" w:sz="1"/>
              <w:left w:val="single" w:color="ECE5D5" w:sz="1"/>
              <w:bottom w:val="single" w:color="ECE5D5" w:sz="1"/>
              <w:right w:val="single" w:color="ECE5D5" w:sz="1"/>
            </w:tcBorders>
            <w:shd w:fill="FFFFFF"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/campaign-compliance</w:t>
            </w:r>
          </w:p>
        </w:tc>
      </w:tr>
      <w:tr>
        <w:tc>
          <w:tcPr>
            <w:tcW w:type="dxa" w:w="300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Risk &amp; Vendor Management</w:t>
            </w:r>
          </w:p>
        </w:tc>
        <w:tc>
          <w:tcPr>
            <w:tcW w:type="dxa" w:w="6360"/>
            <w:tcBorders>
              <w:top w:val="single" w:color="ECE5D5" w:sz="1"/>
              <w:left w:val="single" w:color="ECE5D5" w:sz="1"/>
              <w:bottom w:val="single" w:color="ECE5D5" w:sz="1"/>
              <w:right w:val="single" w:color="ECE5D5" w:sz="1"/>
            </w:tcBorders>
            <w:shd w:fill="FBF8F1" w:val="clear"/>
            <w:tcMar>
              <w:top w:type="dxa" w:w="100"/>
              <w:left w:type="dxa" w:w="140"/>
              <w:bottom w:type="dxa" w:w="100"/>
              <w:right w:type="dxa" w:w="140"/>
            </w:tcMar>
          </w:tcPr>
          <w:p>
            <w:pPr>
              <w:spacing w:after="60"/>
            </w:pPr>
            <w:r>
              <w:rPr>
                <w:rFonts w:ascii="Calibri" w:cs="Calibri" w:eastAsia="Calibri" w:hAnsi="Calibri"/>
                <w:color w:val="2D3B4D"/>
                <w:sz w:val="20"/>
                <w:szCs w:val="20"/>
              </w:rPr>
              <w:t xml:space="preserve">/vendor-risk</w:t>
            </w:r>
          </w:p>
        </w:tc>
      </w:tr>
    </w:tbl>
    <w:p>
      <w:pPr>
        <w:pStyle w:val="Heading2"/>
        <w:spacing w:after="160" w:before="360"/>
      </w:pPr>
      <w:r>
        <w:rPr>
          <w:rFonts w:ascii="Calibri" w:cs="Calibri" w:eastAsia="Calibri" w:hAnsi="Calibri"/>
          <w:b/>
          <w:bCs/>
          <w:color w:val="7A2A38"/>
          <w:sz w:val="28"/>
          <w:szCs w:val="28"/>
        </w:rPr>
        <w:t xml:space="preserve">13.3 Reference materials</w:t>
      </w:r>
    </w:p>
    <w:p>
      <w:pPr>
        <w:pStyle w:val="ListParagraph"/>
        <w:numPr>
          <w:ilvl w:val="0"/>
          <w:numId w:val="2"/>
        </w:numPr>
        <w:spacing w:after="80" w:line="300"/>
      </w:pPr>
      <w:r>
        <w:rPr>
          <w:rFonts w:ascii="Calibri" w:cs="Calibri" w:eastAsia="Calibri" w:hAnsi="Calibri"/>
          <w:sz w:val="22"/>
          <w:szCs w:val="22"/>
        </w:rPr>
        <w:t xml:space="preserve">Working prototype: aibi-banking-playground.html</w:t>
      </w:r>
    </w:p>
    <w:p>
      <w:pPr>
        <w:pStyle w:val="ListParagraph"/>
        <w:numPr>
          <w:ilvl w:val="0"/>
          <w:numId w:val="2"/>
        </w:numPr>
        <w:spacing w:after="80" w:line="300"/>
      </w:pPr>
      <w:r>
        <w:rPr>
          <w:rFonts w:ascii="Calibri" w:cs="Calibri" w:eastAsia="Calibri" w:hAnsi="Calibri"/>
          <w:sz w:val="22"/>
          <w:szCs w:val="22"/>
        </w:rPr>
        <w:t xml:space="preserve">AIBI brand guide: (link to AIBI internal style guide)</w:t>
      </w:r>
    </w:p>
    <w:p>
      <w:pPr>
        <w:pStyle w:val="ListParagraph"/>
        <w:numPr>
          <w:ilvl w:val="0"/>
          <w:numId w:val="2"/>
        </w:numPr>
        <w:spacing w:after="80" w:line="300"/>
      </w:pPr>
      <w:r>
        <w:rPr>
          <w:rFonts w:ascii="Calibri" w:cs="Calibri" w:eastAsia="Calibri" w:hAnsi="Calibri"/>
          <w:sz w:val="22"/>
          <w:szCs w:val="22"/>
        </w:rPr>
        <w:t xml:space="preserve">Anthropic API documentation: https://docs.claude.com</w:t>
      </w:r>
    </w:p>
    <w:p>
      <w:pPr>
        <w:pStyle w:val="ListParagraph"/>
        <w:numPr>
          <w:ilvl w:val="0"/>
          <w:numId w:val="2"/>
        </w:numPr>
        <w:spacing w:after="80" w:line="300"/>
      </w:pPr>
      <w:r>
        <w:rPr>
          <w:rFonts w:ascii="Calibri" w:cs="Calibri" w:eastAsia="Calibri" w:hAnsi="Calibri"/>
          <w:sz w:val="22"/>
          <w:szCs w:val="22"/>
        </w:rPr>
        <w:t xml:space="preserve">FFIEC IT Handbook: https://ithandbook.ffiec.gov</w:t>
      </w:r>
    </w:p>
    <w:p>
      <w:pPr>
        <w:pStyle w:val="ListParagraph"/>
        <w:numPr>
          <w:ilvl w:val="0"/>
          <w:numId w:val="2"/>
        </w:numPr>
        <w:spacing w:after="80" w:line="300"/>
      </w:pPr>
      <w:r>
        <w:rPr>
          <w:rFonts w:ascii="Calibri" w:cs="Calibri" w:eastAsia="Calibri" w:hAnsi="Calibri"/>
          <w:sz w:val="22"/>
          <w:szCs w:val="22"/>
        </w:rPr>
        <w:t xml:space="preserve">OCC Bulletin 2013-29 (Third-Party Risk): https://www.occ.treas.gov</w:t>
      </w:r>
    </w:p>
    <w:p>
      <w:pPr>
        <w:spacing w:after="400"/>
      </w:pPr>
      <w:r>
        <w:t xml:space="preserve"/>
      </w:r>
    </w:p>
    <w:p>
      <w:pPr>
        <w:pBdr>
          <w:bottom w:val="single" w:color="7A2A38" w:sz="12" w:space="1"/>
        </w:pBdr>
        <w:spacing w:after="240"/>
      </w:pPr>
    </w:p>
    <w:p>
      <w:pPr>
        <w:jc w:val="center"/>
      </w:pPr>
      <w:r>
        <w:rPr>
          <w:rFonts w:ascii="Calibri" w:cs="Calibri" w:eastAsia="Calibri" w:hAnsi="Calibri"/>
          <w:i/>
          <w:iCs/>
          <w:color w:val="6B7785"/>
          <w:sz w:val="18"/>
          <w:szCs w:val="18"/>
        </w:rPr>
        <w:t xml:space="preserve">End of document. Version 1.0. Prepared by James Bohmbach, Client Services Manager, for the AI Banking Institute.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785"/>
        <w:sz w:val="18"/>
        <w:szCs w:val="18"/>
      </w:rPr>
      <w:t xml:space="preserve">v1.0 · </w:t>
    </w:r>
    <w:r>
      <w:rPr>
        <w:rFonts w:ascii="Calibri" w:cs="Calibri" w:eastAsia="Calibri" w:hAnsi="Calibri"/>
        <w:color w:val="6B7785"/>
        <w:sz w:val="18"/>
        <w:szCs w:val="18"/>
      </w:rPr>
      <w:t xml:space="preserve">Page </w:t>
    </w:r>
    <w:r>
      <w:rPr>
        <w:rFonts w:ascii="Calibri" w:cs="Calibri" w:eastAsia="Calibri" w:hAnsi="Calibri"/>
        <w:color w:val="6B7785"/>
        <w:sz w:val="18"/>
        <w:szCs w:val="18"/>
      </w:rPr>
      <w:fldChar w:fldCharType="begin"/>
      <w:instrText xml:space="preserve">PAGE</w:instrText>
      <w:fldChar w:fldCharType="separate"/>
      <w:fldChar w:fldCharType="end"/>
    </w:r>
    <w:r>
      <w:rPr>
        <w:rFonts w:ascii="Calibri" w:cs="Calibri" w:eastAsia="Calibri" w:hAnsi="Calibri"/>
        <w:color w:val="6B7785"/>
        <w:sz w:val="18"/>
        <w:szCs w:val="18"/>
      </w:rPr>
      <w:t xml:space="preserve"> of </w:t>
    </w:r>
    <w:r>
      <w:rPr>
        <w:rFonts w:ascii="Calibri" w:cs="Calibri" w:eastAsia="Calibri" w:hAnsi="Calibri"/>
        <w:color w:val="6B778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8C7" w:sz="4" w:space="4"/>
      </w:pBdr>
      <w:jc w:val="right"/>
    </w:pPr>
    <w:r>
      <w:rPr>
        <w:rFonts w:ascii="Calibri" w:cs="Calibri" w:eastAsia="Calibri" w:hAnsi="Calibri"/>
        <w:color w:val="6B7785"/>
        <w:spacing w:val="30"/>
        <w:sz w:val="18"/>
        <w:szCs w:val="18"/>
      </w:rPr>
      <w:t xml:space="preserve">AIBI Toolbox · </w:t>
    </w:r>
    <w:r>
      <w:rPr>
        <w:rFonts w:ascii="Calibri" w:cs="Calibri" w:eastAsia="Calibri" w:hAnsi="Calibri"/>
        <w:i/>
        <w:iCs/>
        <w:color w:val="7A2A38"/>
        <w:sz w:val="18"/>
        <w:szCs w:val="18"/>
      </w:rPr>
      <w:t xml:space="preserve">Banking AI Playground &amp; Toolbox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A2332"/>
      <w:sz w:val="36"/>
      <w:szCs w:val="36"/>
    </w:rPr>
  </w:style>
  <w:style w:type="paragraph" w:styleId="Heading2">
    <w:name w:val="Heading 2"/>
    <w:basedOn w:val="Normal"/>
    <w:next w:val="Normal"/>
    <w:qFormat/>
    <w:pPr>
      <w:spacing w:after="160" w:before="360"/>
      <w:outlineLvl w:val="1"/>
    </w:pPr>
    <w:rPr>
      <w:rFonts w:ascii="Calibri" w:cs="Calibri" w:eastAsia="Calibri" w:hAnsi="Calibri"/>
      <w:b/>
      <w:bCs/>
      <w:color w:val="7A2A38"/>
      <w:sz w:val="28"/>
      <w:szCs w:val="28"/>
    </w:rPr>
  </w:style>
  <w:style w:type="paragraph" w:styleId="Heading3">
    <w:name w:val="Heading 3"/>
    <w:basedOn w:val="Normal"/>
    <w:next w:val="Normal"/>
    <w:qFormat/>
    <w:pPr>
      <w:spacing w:after="120" w:before="280"/>
      <w:outlineLvl w:val="2"/>
    </w:pPr>
    <w:rPr>
      <w:rFonts w:ascii="Calibri" w:cs="Calibri" w:eastAsia="Calibri" w:hAnsi="Calibri"/>
      <w:b/>
      <w:bCs/>
      <w:color w:val="1A2332"/>
      <w:sz w:val="24"/>
      <w:szCs w:val="24"/>
    </w:rPr>
  </w:style>
  <w:style w:type="paragraph" w:styleId="Heading4">
    <w:name w:val="Heading 4"/>
    <w:basedOn w:val="Normal"/>
    <w:next w:val="Normal"/>
    <w:qFormat/>
    <w:pPr>
      <w:spacing w:after="80" w:before="200"/>
      <w:outlineLvl w:val="3"/>
    </w:pPr>
    <w:rPr>
      <w:rFonts w:ascii="Calibri" w:cs="Calibri" w:eastAsia="Calibri" w:hAnsi="Calibri"/>
      <w:b/>
      <w:bCs/>
      <w:color w:val="7D64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Banking AI Playground &amp; Toolbox · Product Requirements Document</dc:title>
  <dc:creator>AI Banking Institute</dc:creator>
  <dc:description>PRD for AIBI Toolbox premium learning module</dc:description>
  <cp:lastModifiedBy>Un-named</cp:lastModifiedBy>
  <cp:revision>1</cp:revision>
  <dcterms:created xsi:type="dcterms:W3CDTF">2026-04-28T13:07:02.496Z</dcterms:created>
  <dcterms:modified xsi:type="dcterms:W3CDTF">2026-04-28T13:07:02.496Z</dcterms:modified>
</cp:coreProperties>
</file>

<file path=docProps/custom.xml><?xml version="1.0" encoding="utf-8"?>
<Properties xmlns="http://schemas.openxmlformats.org/officeDocument/2006/custom-properties" xmlns:vt="http://schemas.openxmlformats.org/officeDocument/2006/docPropsVTypes"/>
</file>