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60"/>
      </w:pPr>
      <w:r>
        <w:rPr>
          <w:rFonts w:ascii="Arial" w:cs="Arial" w:eastAsia="Arial" w:hAnsi="Arial"/>
          <w:b/>
          <w:bCs/>
          <w:color w:val="B5512E"/>
          <w:spacing w:val="60"/>
          <w:sz w:val="20"/>
          <w:szCs w:val="20"/>
        </w:rPr>
        <w:t xml:space="preserve">THE AI BANKING INSTITUTE</w:t>
      </w:r>
    </w:p>
    <w:p>
      <w:pPr>
        <w:spacing w:after="60"/>
      </w:pPr>
      <w:r>
        <w:rPr>
          <w:rFonts w:ascii="Arial" w:cs="Arial" w:eastAsia="Arial" w:hAnsi="Arial"/>
          <w:b/>
          <w:bCs/>
          <w:color w:val="1E1A14"/>
          <w:sz w:val="72"/>
          <w:szCs w:val="72"/>
        </w:rPr>
        <w:t xml:space="preserve">AiBI-P</w:t>
      </w:r>
    </w:p>
    <w:p>
      <w:pPr>
        <w:spacing w:after="60"/>
      </w:pPr>
      <w:r>
        <w:rPr>
          <w:rFonts w:ascii="Arial" w:cs="Arial" w:eastAsia="Arial" w:hAnsi="Arial"/>
          <w:i/>
          <w:iCs/>
          <w:color w:val="6B6355"/>
          <w:sz w:val="40"/>
          <w:szCs w:val="40"/>
        </w:rPr>
        <w:t xml:space="preserve">Banking AI Practitioner</w:t>
      </w:r>
    </w:p>
    <w:p>
      <w:pPr>
        <w:spacing w:after="200"/>
      </w:pPr>
      <w:r>
        <w:rPr>
          <w:rFonts w:ascii="Arial" w:cs="Arial" w:eastAsia="Arial" w:hAnsi="Arial"/>
          <w:color w:val="9B9085"/>
          <w:sz w:val="26"/>
          <w:szCs w:val="26"/>
        </w:rPr>
        <w:t xml:space="preserve">Comprehensive Course Product Requirements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
            </w:r>
          </w:p>
        </w:tc>
        <w:tc>
          <w:tcPr>
            <w:tcW w:type="dxa" w:w="696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Course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AiBI-P · Banking AI Practitioner — First course in the AiBI curriculum</w:t>
            </w:r>
          </w:p>
        </w:tc>
      </w:tr>
      <w:tr>
        <w:tc>
          <w:tcPr>
            <w:tcW w:type="dxa" w:w="24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Audience</w:t>
            </w:r>
          </w:p>
        </w:tc>
        <w:tc>
          <w:tcPr>
            <w:tcW w:type="dxa" w:w="69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All community bank and credit union staff — no technical background required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Format</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Self-paced, online, LMS-delivered</w:t>
            </w:r>
          </w:p>
        </w:tc>
      </w:tr>
      <w:tr>
        <w:tc>
          <w:tcPr>
            <w:tcW w:type="dxa" w:w="24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Duration</w:t>
            </w:r>
          </w:p>
        </w:tc>
        <w:tc>
          <w:tcPr>
            <w:tcW w:type="dxa" w:w="69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4–6 hours content + 30–45 min assessed work product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Pillars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Awareness · Understanding · Creation · Application</w:t>
            </w:r>
          </w:p>
        </w:tc>
      </w:tr>
      <w:tr>
        <w:tc>
          <w:tcPr>
            <w:tcW w:type="dxa" w:w="24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Modules</w:t>
            </w:r>
          </w:p>
        </w:tc>
        <w:tc>
          <w:tcPr>
            <w:tcW w:type="dxa" w:w="69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Nine (M1–M9)</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Assessment</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Skill submission + one output it produced — not a test score</w:t>
            </w:r>
          </w:p>
        </w:tc>
      </w:tr>
      <w:tr>
        <w:tc>
          <w:tcPr>
            <w:tcW w:type="dxa" w:w="24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Price</w:t>
            </w:r>
          </w:p>
        </w:tc>
        <w:tc>
          <w:tcPr>
            <w:tcW w:type="dxa" w:w="69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$79/seat individual · ~$63/seat institution (20% off at 5+ seats)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Prerequisite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Free 12-question AI Readiness Assessment</w:t>
            </w:r>
          </w:p>
        </w:tc>
      </w:tr>
      <w:tr>
        <w:tc>
          <w:tcPr>
            <w:tcW w:type="dxa" w:w="24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Certificate</w:t>
            </w:r>
          </w:p>
        </w:tc>
        <w:tc>
          <w:tcPr>
            <w:tcW w:type="dxa" w:w="69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AiBI-P · Banking AI Practitioner — unique ID, verifiable, LinkedIn badge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Status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PRD — Ready for Content Development</w:t>
            </w:r>
          </w:p>
        </w:tc>
      </w:tr>
      <w:tr>
        <w:tc>
          <w:tcPr>
            <w:tcW w:type="dxa" w:w="24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Version</w:t>
            </w:r>
          </w:p>
        </w:tc>
        <w:tc>
          <w:tcPr>
            <w:tcW w:type="dxa" w:w="69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2.0  ·  April 2026</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741" w:sz="6"/>
              <w:left w:val="single" w:color="4A6741" w:sz="6"/>
              <w:bottom w:val="single" w:color="4A6741" w:sz="1"/>
              <w:right w:val="single" w:color="4A6741" w:sz="1"/>
            </w:tcBorders>
            <w:shd w:fill="EBF5F0" w:val="clear"/>
            <w:tcMar>
              <w:top w:type="dxa" w:w="120"/>
              <w:left w:type="dxa" w:w="160"/>
              <w:bottom w:type="dxa" w:w="120"/>
              <w:right w:type="dxa" w:w="160"/>
            </w:tcMar>
          </w:tcPr>
          <w:p>
            <w:pPr>
              <w:spacing w:after="60"/>
            </w:pPr>
            <w:r>
              <w:rPr>
                <w:rFonts w:ascii="Arial" w:cs="Arial" w:eastAsia="Arial" w:hAnsi="Arial"/>
                <w:b/>
                <w:bCs/>
                <w:color w:val="4A6741"/>
                <w:sz w:val="18"/>
                <w:szCs w:val="18"/>
              </w:rPr>
              <w:t xml:space="preserve">WHAT THIS DOCUMENT IS</w:t>
            </w:r>
          </w:p>
          <w:p>
            <w:pPr>
              <w:spacing w:after="40"/>
            </w:pPr>
            <w:r>
              <w:rPr>
                <w:rFonts w:ascii="Arial" w:cs="Arial" w:eastAsia="Arial" w:hAnsi="Arial"/>
                <w:color w:val="1E1A14"/>
                <w:sz w:val="21"/>
                <w:szCs w:val="21"/>
              </w:rPr>
              <w:t xml:space="preserve">This is the comprehensive PRD for AiBI-P — the foundational course of the AiBI curriculum. It specifies every module, every activity, every screen, every platform behavior, and every assessment requirement.</w:t>
            </w:r>
          </w:p>
          <w:p>
            <w:pPr>
              <w:spacing w:after="40"/>
            </w:pPr>
            <w:r>
              <w:rPr>
                <w:rFonts w:ascii="Arial" w:cs="Arial" w:eastAsia="Arial" w:hAnsi="Arial"/>
                <w:color w:val="1E1A14"/>
                <w:sz w:val="21"/>
                <w:szCs w:val="21"/>
              </w:rPr>
              <w:t xml:space="preserve">AiBI-P is the prerequisite for AiBI-S and AiBI-L. It is designed for every member of a community bank or credit union — a teller and a CFO take the same course. The content serves both.</w:t>
            </w:r>
          </w:p>
          <w:p>
            <w:pPr>
              <w:spacing w:after="40"/>
            </w:pPr>
            <w:r>
              <w:rPr>
                <w:rFonts w:ascii="Arial" w:cs="Arial" w:eastAsia="Arial" w:hAnsi="Arial"/>
                <w:color w:val="1E1A14"/>
                <w:sz w:val="21"/>
                <w:szCs w:val="21"/>
              </w:rPr>
              <w:t xml:space="preserve">The four pillars — Awareness, Understanding, Creation, Application — are the organizing spine of the entire AiBI curriculum. Every AiBI course ends with an Application module. This one begins with all three foundational pillars before Application.</w:t>
            </w:r>
          </w:p>
        </w:tc>
      </w:tr>
    </w:tbl>
    <w:p>
      <w:r>
        <w:br w:type="page"/>
      </w:r>
    </w:p>
    <w:p>
      <w:pPr>
        <w:pStyle w:val="Heading1"/>
      </w:pPr>
      <w:r>
        <w:rPr>
          <w:rFonts w:ascii="Arial" w:cs="Arial" w:eastAsia="Arial" w:hAnsi="Arial"/>
          <w:b/>
          <w:bCs/>
          <w:color w:val="1E1A14"/>
          <w:sz w:val="32"/>
          <w:szCs w:val="32"/>
        </w:rPr>
        <w:t xml:space="preserve">1. Course Architecture</w:t>
      </w:r>
    </w:p>
    <w:p>
      <w:pPr>
        <w:pStyle w:val="Heading2"/>
      </w:pPr>
      <w:r>
        <w:rPr>
          <w:rFonts w:ascii="Arial" w:cs="Arial" w:eastAsia="Arial" w:hAnsi="Arial"/>
          <w:b/>
          <w:bCs/>
          <w:color w:val="B5512E"/>
          <w:sz w:val="26"/>
          <w:szCs w:val="26"/>
        </w:rPr>
        <w:t xml:space="preserve">1.1 The Four Pillars</w:t>
      </w:r>
    </w:p>
    <w:p>
      <w:pPr>
        <w:spacing w:after="120"/>
      </w:pPr>
      <w:r>
        <w:rPr>
          <w:rFonts w:ascii="Arial" w:cs="Arial" w:eastAsia="Arial" w:hAnsi="Arial"/>
          <w:i w:val="false"/>
          <w:iCs w:val="false"/>
          <w:color w:val="6B6355"/>
          <w:sz w:val="22"/>
          <w:szCs w:val="22"/>
        </w:rPr>
        <w:t xml:space="preserve">AiBI-P is organized around four pillars. The sequence is non-negotiable — each pillar depends on what came before it.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2800"/>
        <w:gridCol w:w="4360"/>
      </w:tblGrid>
      <w:tr>
        <w:trPr>
          <w:tblHeader/>
        </w:trPr>
        <w:tc>
          <w:tcPr>
            <w:tcW w:type="dxa" w:w="12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Pillar</w:t>
            </w:r>
          </w:p>
        </w:tc>
        <w:tc>
          <w:tcPr>
            <w:tcW w:type="dxa" w:w="10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Modules</w:t>
            </w:r>
          </w:p>
        </w:tc>
        <w:tc>
          <w:tcPr>
            <w:tcW w:type="dxa" w:w="28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Core Question</w:t>
            </w:r>
          </w:p>
        </w:tc>
        <w:tc>
          <w:tcPr>
            <w:tcW w:type="dxa" w:w="436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What the Learner Gets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Awareness</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M1, M2</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What exists and why does it matter to me as a banker?</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Regulatory context + complete tool landscape</w:t>
            </w:r>
          </w:p>
        </w:tc>
      </w:tr>
      <w:tr>
        <w:tc>
          <w:tcPr>
            <w:tcW w:type="dxa" w:w="12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Understanding</w:t>
            </w:r>
          </w:p>
        </w:tc>
        <w:tc>
          <w:tcPr>
            <w:tcW w:type="dxa" w:w="10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M3, M4, M5</w:t>
            </w:r>
          </w:p>
        </w:tc>
        <w:tc>
          <w:tcPr>
            <w:tcW w:type="dxa" w:w="28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How do these platforms actually work and what can they do?</w:t>
            </w:r>
          </w:p>
        </w:tc>
        <w:tc>
          <w:tcPr>
            <w:tcW w:type="dxa" w:w="43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Activation, features, safe use, failure patterns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Creation</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M6, M7, M8</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How do I build something that works and is repeatable?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First skill written, tested, and understood as shareable</w:t>
            </w:r>
          </w:p>
        </w:tc>
      </w:tr>
      <w:tr>
        <w:tc>
          <w:tcPr>
            <w:tcW w:type="dxa" w:w="12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Application</w:t>
            </w:r>
          </w:p>
        </w:tc>
        <w:tc>
          <w:tcPr>
            <w:tcW w:type="dxa" w:w="10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M9</w:t>
            </w:r>
          </w:p>
        </w:tc>
        <w:tc>
          <w:tcPr>
            <w:tcW w:type="dxa" w:w="28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How do I automate something real and produce a result?</w:t>
            </w:r>
          </w:p>
        </w:tc>
        <w:tc>
          <w:tcPr>
            <w:tcW w:type="dxa" w:w="43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1–3 automations running, assessed work product, certificate</w:t>
            </w:r>
          </w:p>
        </w:tc>
      </w:tr>
    </w:tbl>
    <w:p>
      <w:pPr>
        <w:spacing w:after="160"/>
      </w:pPr>
    </w:p>
    <w:p>
      <w:pPr>
        <w:pStyle w:val="Heading2"/>
      </w:pPr>
      <w:r>
        <w:rPr>
          <w:rFonts w:ascii="Arial" w:cs="Arial" w:eastAsia="Arial" w:hAnsi="Arial"/>
          <w:b/>
          <w:bCs/>
          <w:color w:val="B5512E"/>
          <w:sz w:val="26"/>
          <w:szCs w:val="26"/>
        </w:rPr>
        <w:t xml:space="preserve">1.2 Module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100"/>
        <w:gridCol w:w="2800"/>
        <w:gridCol w:w="800"/>
        <w:gridCol w:w="4300"/>
      </w:tblGrid>
      <w:tr>
        <w:trPr>
          <w:tblHeader/>
        </w:trPr>
        <w:tc>
          <w:tcPr>
            <w:tcW w:type="dxa" w:w="36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w:t>
            </w:r>
          </w:p>
        </w:tc>
        <w:tc>
          <w:tcPr>
            <w:tcW w:type="dxa" w:w="11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Pillar</w:t>
            </w:r>
          </w:p>
        </w:tc>
        <w:tc>
          <w:tcPr>
            <w:tcW w:type="dxa" w:w="28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Title</w:t>
            </w:r>
          </w:p>
        </w:tc>
        <w:tc>
          <w:tcPr>
            <w:tcW w:type="dxa" w:w="8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Time</w:t>
            </w:r>
          </w:p>
        </w:tc>
        <w:tc>
          <w:tcPr>
            <w:tcW w:type="dxa" w:w="43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Key Output</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M1</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Awareness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The Regulatory Landscape</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20 min</w:t>
            </w:r>
          </w:p>
        </w:tc>
        <w:tc>
          <w:tcPr>
            <w:tcW w:type="dxa" w:w="4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Regulatory cheatsheet downloaded</w:t>
            </w:r>
          </w:p>
        </w:tc>
      </w:tr>
      <w:tr>
        <w:tc>
          <w:tcPr>
            <w:tcW w:type="dxa" w:w="3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M2</w:t>
            </w:r>
          </w:p>
        </w:tc>
        <w:tc>
          <w:tcPr>
            <w:tcW w:type="dxa" w:w="11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Awareness</w:t>
            </w:r>
          </w:p>
        </w:tc>
        <w:tc>
          <w:tcPr>
            <w:tcW w:type="dxa" w:w="28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The Tools Landscape + Onboarding Branch</w:t>
            </w:r>
          </w:p>
        </w:tc>
        <w:tc>
          <w:tcPr>
            <w:tcW w:type="dxa" w:w="8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20 min</w:t>
            </w:r>
          </w:p>
        </w:tc>
        <w:tc>
          <w:tcPr>
            <w:tcW w:type="dxa" w:w="43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Subscription inventory completed</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M3</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Understanding</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What You Already Have + Activation</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25 min</w:t>
            </w:r>
          </w:p>
        </w:tc>
        <w:tc>
          <w:tcPr>
            <w:tcW w:type="dxa" w:w="4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At least one tool activated and opened</w:t>
            </w:r>
          </w:p>
        </w:tc>
      </w:tr>
      <w:tr>
        <w:tc>
          <w:tcPr>
            <w:tcW w:type="dxa" w:w="3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M4</w:t>
            </w:r>
          </w:p>
        </w:tc>
        <w:tc>
          <w:tcPr>
            <w:tcW w:type="dxa" w:w="11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Understanding</w:t>
            </w:r>
          </w:p>
        </w:tc>
        <w:tc>
          <w:tcPr>
            <w:tcW w:type="dxa" w:w="28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Platform Features Deep Dive</w:t>
            </w:r>
          </w:p>
        </w:tc>
        <w:tc>
          <w:tcPr>
            <w:tcW w:type="dxa" w:w="8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30 min</w:t>
            </w:r>
          </w:p>
        </w:tc>
        <w:tc>
          <w:tcPr>
            <w:tcW w:type="dxa" w:w="43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Feature checklist completed per platform</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M5</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Understanding</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Safe Use + The Six Failure Patterns</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20 min</w:t>
            </w:r>
          </w:p>
        </w:tc>
        <w:tc>
          <w:tcPr>
            <w:tcW w:type="dxa" w:w="4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Acceptable use card downloaded</w:t>
            </w:r>
          </w:p>
        </w:tc>
      </w:tr>
      <w:tr>
        <w:tc>
          <w:tcPr>
            <w:tcW w:type="dxa" w:w="3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M6</w:t>
            </w:r>
          </w:p>
        </w:tc>
        <w:tc>
          <w:tcPr>
            <w:tcW w:type="dxa" w:w="11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Creation</w:t>
            </w:r>
          </w:p>
        </w:tc>
        <w:tc>
          <w:tcPr>
            <w:tcW w:type="dxa" w:w="28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Anatomy of a Skill</w:t>
            </w:r>
          </w:p>
        </w:tc>
        <w:tc>
          <w:tcPr>
            <w:tcW w:type="dxa" w:w="8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20 min</w:t>
            </w:r>
          </w:p>
        </w:tc>
        <w:tc>
          <w:tcPr>
            <w:tcW w:type="dxa" w:w="43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Skill structure understood, examples reviewed</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M7</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Creation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Write Your First Skill</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30 min</w:t>
            </w:r>
          </w:p>
        </w:tc>
        <w:tc>
          <w:tcPr>
            <w:tcW w:type="dxa" w:w="4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First skill written and saved</w:t>
            </w:r>
          </w:p>
        </w:tc>
      </w:tr>
      <w:tr>
        <w:tc>
          <w:tcPr>
            <w:tcW w:type="dxa" w:w="3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M8</w:t>
            </w:r>
          </w:p>
        </w:tc>
        <w:tc>
          <w:tcPr>
            <w:tcW w:type="dxa" w:w="11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Creation</w:t>
            </w:r>
          </w:p>
        </w:tc>
        <w:tc>
          <w:tcPr>
            <w:tcW w:type="dxa" w:w="28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Test, Iterate, and Share the Concept</w:t>
            </w:r>
          </w:p>
        </w:tc>
        <w:tc>
          <w:tcPr>
            <w:tcW w:type="dxa" w:w="8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20 min</w:t>
            </w:r>
          </w:p>
        </w:tc>
        <w:tc>
          <w:tcPr>
            <w:tcW w:type="dxa" w:w="43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Skill refined, portability understood</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M9</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Application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Automate 1–3 Real Tasks</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30–45 min</w:t>
            </w:r>
          </w:p>
        </w:tc>
        <w:tc>
          <w:tcPr>
            <w:tcW w:type="dxa" w:w="4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Work product submitted, certificate earned</w:t>
            </w:r>
          </w:p>
        </w:tc>
      </w:tr>
    </w:tbl>
    <w:p>
      <w:pPr>
        <w:spacing w:after="80"/>
      </w:pPr>
    </w:p>
    <w:p>
      <w:pPr>
        <w:spacing w:after="120"/>
      </w:pPr>
      <w:r>
        <w:rPr>
          <w:rFonts w:ascii="Arial" w:cs="Arial" w:eastAsia="Arial" w:hAnsi="Arial"/>
          <w:i w:val="false"/>
          <w:iCs w:val="false"/>
          <w:color w:val="6B6355"/>
          <w:sz w:val="22"/>
          <w:szCs w:val="22"/>
        </w:rPr>
        <w:t xml:space="preserve">Total content time: approximately 3.5–4 hours. Total with assessed work product: 4.5–5.5 hours.</w:t>
      </w:r>
    </w:p>
    <w:p>
      <w:pPr>
        <w:spacing w:after="160"/>
      </w:pPr>
    </w:p>
    <w:p>
      <w:pPr>
        <w:pStyle w:val="Heading2"/>
      </w:pPr>
      <w:r>
        <w:rPr>
          <w:rFonts w:ascii="Arial" w:cs="Arial" w:eastAsia="Arial" w:hAnsi="Arial"/>
          <w:b/>
          <w:bCs/>
          <w:color w:val="B5512E"/>
          <w:sz w:val="26"/>
          <w:szCs w:val="26"/>
        </w:rPr>
        <w:t xml:space="preserve">1.3 The Margin of Error Progression</w:t>
      </w:r>
    </w:p>
    <w:p>
      <w:pPr>
        <w:spacing w:after="120"/>
      </w:pPr>
      <w:r>
        <w:rPr>
          <w:rFonts w:ascii="Arial" w:cs="Arial" w:eastAsia="Arial" w:hAnsi="Arial"/>
          <w:i w:val="false"/>
          <w:iCs w:val="false"/>
          <w:color w:val="6B6355"/>
          <w:sz w:val="22"/>
          <w:szCs w:val="22"/>
        </w:rPr>
        <w:t xml:space="preserve">This framework is the organizing principle for the entire AiBI curriculum — not just AiBI-P. It explains why the tier boundaries exist without needing to reference the next course.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400"/>
        <w:gridCol w:w="3560"/>
      </w:tblGrid>
      <w:tr>
        <w:trPr>
          <w:tblHeader/>
        </w:trPr>
        <w:tc>
          <w:tcPr>
            <w:tcW w:type="dxa" w:w="14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Level</w:t>
            </w:r>
          </w:p>
        </w:tc>
        <w:tc>
          <w:tcPr>
            <w:tcW w:type="dxa" w:w="20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Margin of Error</w:t>
            </w:r>
          </w:p>
        </w:tc>
        <w:tc>
          <w:tcPr>
            <w:tcW w:type="dxa" w:w="24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Who is Affected</w:t>
            </w:r>
          </w:p>
        </w:tc>
        <w:tc>
          <w:tcPr>
            <w:tcW w:type="dxa" w:w="356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AiBI Course</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Personal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High — you can fail privately, learn fast, iterate freely</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Only you</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AiBI-P</w:t>
            </w:r>
          </w:p>
        </w:tc>
      </w:tr>
      <w:tr>
        <w:tc>
          <w:tcPr>
            <w:tcW w:type="dxa" w:w="14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Team</w:t>
            </w:r>
          </w:p>
        </w:tc>
        <w:tc>
          <w:tcPr>
            <w:tcW w:type="dxa" w:w="20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Medium — colleagues catch mistakes, reputation has some risk but is recoverable</w:t>
            </w:r>
          </w:p>
        </w:tc>
        <w:tc>
          <w:tcPr>
            <w:tcW w:type="dxa" w:w="24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Your immediate colleagues</w:t>
            </w:r>
          </w:p>
        </w:tc>
        <w:tc>
          <w:tcPr>
            <w:tcW w:type="dxa" w:w="35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AiBI-P (plant the concept), AiBI-S (deploy it)</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Institution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Low — documented, governed, examined. Errors have compliance and operational consequences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The whole organization + examiners</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AiBI-S</w:t>
            </w:r>
          </w:p>
        </w:tc>
      </w:tr>
      <w:tr>
        <w:tc>
          <w:tcPr>
            <w:tcW w:type="dxa" w:w="14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Customer-facing</w:t>
            </w:r>
          </w:p>
        </w:tc>
        <w:tc>
          <w:tcPr>
            <w:tcW w:type="dxa" w:w="20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Zero — touches members, borrowers, or depositors. Full governance, full accountability, no exceptions</w:t>
            </w:r>
          </w:p>
        </w:tc>
        <w:tc>
          <w:tcPr>
            <w:tcW w:type="dxa" w:w="24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Members and the public</w:t>
            </w:r>
          </w:p>
        </w:tc>
        <w:tc>
          <w:tcPr>
            <w:tcW w:type="dxa" w:w="35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AiBI-L</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741" w:sz="6"/>
              <w:left w:val="single" w:color="4A6741" w:sz="6"/>
              <w:bottom w:val="single" w:color="4A6741" w:sz="1"/>
              <w:right w:val="single" w:color="4A6741" w:sz="1"/>
            </w:tcBorders>
            <w:shd w:fill="EBF5F0" w:val="clear"/>
            <w:tcMar>
              <w:top w:type="dxa" w:w="120"/>
              <w:left w:type="dxa" w:w="160"/>
              <w:bottom w:type="dxa" w:w="120"/>
              <w:right w:type="dxa" w:w="160"/>
            </w:tcMar>
          </w:tcPr>
          <w:p>
            <w:pPr>
              <w:spacing w:after="60"/>
            </w:pPr>
            <w:r>
              <w:rPr>
                <w:rFonts w:ascii="Arial" w:cs="Arial" w:eastAsia="Arial" w:hAnsi="Arial"/>
                <w:b/>
                <w:bCs/>
                <w:color w:val="4A6741"/>
                <w:sz w:val="18"/>
                <w:szCs w:val="18"/>
              </w:rPr>
              <w:t xml:space="preserve">HOW TO PRESENT THIS IN THE COURSE</w:t>
            </w:r>
          </w:p>
          <w:p>
            <w:pPr>
              <w:spacing w:after="40"/>
            </w:pPr>
            <w:r>
              <w:rPr>
                <w:rFonts w:ascii="Arial" w:cs="Arial" w:eastAsia="Arial" w:hAnsi="Arial"/>
                <w:color w:val="1E1A14"/>
                <w:sz w:val="21"/>
                <w:szCs w:val="21"/>
              </w:rPr>
              <w:t xml:space="preserve">Do not tell learners which tier they are in. Show them the framework and let them place themselves. Most will immediately understand that what they are doing in this course sits at the personal level — and that is correct and intentional. The framework also plants the seed for AiBI-S without naming it.</w:t>
            </w:r>
          </w:p>
        </w:tc>
      </w:tr>
    </w:tbl>
    <w:p>
      <w:pPr>
        <w:spacing w:after="160"/>
      </w:pPr>
    </w:p>
    <w:p>
      <w:pPr>
        <w:pStyle w:val="Heading2"/>
      </w:pPr>
      <w:r>
        <w:rPr>
          <w:rFonts w:ascii="Arial" w:cs="Arial" w:eastAsia="Arial" w:hAnsi="Arial"/>
          <w:b/>
          <w:bCs/>
          <w:color w:val="B5512E"/>
          <w:sz w:val="26"/>
          <w:szCs w:val="26"/>
        </w:rPr>
        <w:t xml:space="preserve">1.4 Onboarding Branch</w:t>
      </w:r>
    </w:p>
    <w:p>
      <w:pPr>
        <w:spacing w:after="120"/>
      </w:pPr>
      <w:r>
        <w:rPr>
          <w:rFonts w:ascii="Arial" w:cs="Arial" w:eastAsia="Arial" w:hAnsi="Arial"/>
          <w:i w:val="false"/>
          <w:iCs w:val="false"/>
          <w:color w:val="6B6355"/>
          <w:sz w:val="22"/>
          <w:szCs w:val="22"/>
        </w:rPr>
        <w:t xml:space="preserve">At enrollment — before Module 1 begins — the learner answers three questions. Their answers route platform-specific content throughout the course. This is not a gatekeeping mechanism; it is a personalization mechanism.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Question</w:t>
            </w:r>
          </w:p>
        </w:tc>
        <w:tc>
          <w:tcPr>
            <w:tcW w:type="dxa" w:w="26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Options</w:t>
            </w:r>
          </w:p>
        </w:tc>
        <w:tc>
          <w:tcPr>
            <w:tcW w:type="dxa" w:w="456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Effect on Course Content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Does your institution use Microsoft 365 (Outlook, Teams, Word, Excel)?</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Yes / No / Not sure</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Yes: Copilot activation path shown in M3. Not sure: prompt to check with IT.</w:t>
            </w:r>
          </w:p>
        </w:tc>
      </w:tr>
      <w:tr>
        <w:tc>
          <w:tcPr>
            <w:tcW w:type="dxa" w:w="22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Do you currently have any personal AI subscriptions? (ChatGPT Plus, Claude Pro, etc.)</w:t>
            </w:r>
          </w:p>
        </w:tc>
        <w:tc>
          <w:tcPr>
            <w:tcW w:type="dxa" w:w="26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Yes (select which) / No, just free tools / None yet</w:t>
            </w:r>
          </w:p>
        </w:tc>
        <w:tc>
          <w:tcPr>
            <w:tcW w:type="dxa" w:w="45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Routes M3 platform content to what they already pay for first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What is your primary role at your institution?</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Lending · Operations · Compliance · Finance · Marketing · IT · Retail · Executive · Other</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Role-specific examples surfaced throughout M4, M7, M8, M9</w:t>
            </w:r>
          </w:p>
        </w:tc>
      </w:tr>
    </w:tbl>
    <w:p>
      <w:pPr>
        <w:spacing w:after="160"/>
      </w:pPr>
    </w:p>
    <w:p>
      <w:r>
        <w:br w:type="page"/>
      </w:r>
    </w:p>
    <w:p>
      <w:pPr>
        <w:pStyle w:val="Heading1"/>
      </w:pPr>
      <w:r>
        <w:rPr>
          <w:rFonts w:ascii="Arial" w:cs="Arial" w:eastAsia="Arial" w:hAnsi="Arial"/>
          <w:b/>
          <w:bCs/>
          <w:color w:val="1E1A14"/>
          <w:sz w:val="32"/>
          <w:szCs w:val="32"/>
        </w:rPr>
        <w:t xml:space="preserve">2. Pricing Architecture</w:t>
      </w:r>
    </w:p>
    <w:p>
      <w:pPr>
        <w:pStyle w:val="Heading2"/>
      </w:pPr>
      <w:r>
        <w:rPr>
          <w:rFonts w:ascii="Arial" w:cs="Arial" w:eastAsia="Arial" w:hAnsi="Arial"/>
          <w:b/>
          <w:bCs/>
          <w:color w:val="B5512E"/>
          <w:sz w:val="26"/>
          <w:szCs w:val="26"/>
        </w:rPr>
        <w:t xml:space="preserve">2.1 AiBI-P Pricing</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4160"/>
      </w:tblGrid>
      <w:tr>
        <w:trPr>
          <w:tblHeader/>
        </w:trPr>
        <w:tc>
          <w:tcPr>
            <w:tcW w:type="dxa" w:w="24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Offer</w:t>
            </w:r>
          </w:p>
        </w:tc>
        <w:tc>
          <w:tcPr>
            <w:tcW w:type="dxa" w:w="16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Price</w:t>
            </w:r>
          </w:p>
        </w:tc>
        <w:tc>
          <w:tcPr>
            <w:tcW w:type="dxa" w:w="14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Threshold</w:t>
            </w:r>
          </w:p>
        </w:tc>
        <w:tc>
          <w:tcPr>
            <w:tcW w:type="dxa" w:w="416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Free Assessment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Anyone</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12 questions, rotating pool of 40–50, instant score</w:t>
            </w:r>
          </w:p>
        </w:tc>
      </w:tr>
      <w:tr>
        <w:tc>
          <w:tcPr>
            <w:tcW w:type="dxa" w:w="24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AiBI-P Individual</w:t>
            </w:r>
          </w:p>
        </w:tc>
        <w:tc>
          <w:tcPr>
            <w:tcW w:type="dxa" w:w="16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$79/seat</w:t>
            </w:r>
          </w:p>
        </w:tc>
        <w:tc>
          <w:tcPr>
            <w:tcW w:type="dxa" w:w="14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1–4 seats</w:t>
            </w:r>
          </w:p>
        </w:tc>
        <w:tc>
          <w:tcPr>
            <w:tcW w:type="dxa" w:w="41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Standard individual price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AiBI-P Institution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~$63/seat (20% off)</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5+ seats</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Discount persists at this tier for all future AiBI-P purchases</w:t>
            </w:r>
          </w:p>
        </w:tc>
      </w:tr>
      <w:tr>
        <w:tc>
          <w:tcPr>
            <w:tcW w:type="dxa" w:w="24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Executive Briefing</w:t>
            </w:r>
          </w:p>
        </w:tc>
        <w:tc>
          <w:tcPr>
            <w:tcW w:type="dxa" w:w="16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$150–$200</w:t>
            </w:r>
          </w:p>
        </w:tc>
        <w:tc>
          <w:tcPr>
            <w:tcW w:type="dxa" w:w="14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Any</w:t>
            </w:r>
          </w:p>
        </w:tc>
        <w:tc>
          <w:tcPr>
            <w:tcW w:type="dxa" w:w="41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Credited in full toward first consulting engagement. Pre-work assessment automated via Calendly.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6"/>
              <w:left w:val="single" w:color="B8860B" w:sz="6"/>
              <w:bottom w:val="single" w:color="B8860B" w:sz="1"/>
              <w:right w:val="single" w:color="B8860B" w:sz="1"/>
            </w:tcBorders>
            <w:shd w:fill="FFF3CD" w:val="clear"/>
            <w:tcMar>
              <w:top w:type="dxa" w:w="120"/>
              <w:left w:type="dxa" w:w="160"/>
              <w:bottom w:type="dxa" w:w="120"/>
              <w:right w:type="dxa" w:w="160"/>
            </w:tcMar>
          </w:tcPr>
          <w:p>
            <w:pPr>
              <w:spacing w:after="60"/>
            </w:pPr>
            <w:r>
              <w:rPr>
                <w:rFonts w:ascii="Arial" w:cs="Arial" w:eastAsia="Arial" w:hAnsi="Arial"/>
                <w:b/>
                <w:bCs/>
                <w:color w:val="B8860B"/>
                <w:sz w:val="18"/>
                <w:szCs w:val="18"/>
              </w:rPr>
              <w:t xml:space="preserve">INSTITUTION DISCOUNT RULES</w:t>
            </w:r>
          </w:p>
          <w:p>
            <w:pPr>
              <w:spacing w:after="40"/>
            </w:pPr>
            <w:r>
              <w:rPr>
                <w:rFonts w:ascii="Arial" w:cs="Arial" w:eastAsia="Arial" w:hAnsi="Arial"/>
                <w:color w:val="1E1A14"/>
                <w:sz w:val="21"/>
                <w:szCs w:val="21"/>
              </w:rPr>
              <w:t xml:space="preserve">The 20% institution discount applies at 5+ seats purchased together.</w:t>
            </w:r>
          </w:p>
          <w:p>
            <w:pPr>
              <w:spacing w:after="40"/>
            </w:pPr>
            <w:r>
              <w:rPr>
                <w:rFonts w:ascii="Arial" w:cs="Arial" w:eastAsia="Arial" w:hAnsi="Arial"/>
                <w:color w:val="1E1A14"/>
                <w:sz w:val="21"/>
                <w:szCs w:val="21"/>
              </w:rPr>
              <w:t xml:space="preserve">Once an institution has purchased at the institution tier, the discount persists for all future AiBI-P seat purchases — they do not need to hit 5 seats again.</w:t>
            </w:r>
          </w:p>
          <w:p>
            <w:pPr>
              <w:spacing w:after="40"/>
            </w:pPr>
            <w:r>
              <w:rPr>
                <w:rFonts w:ascii="Arial" w:cs="Arial" w:eastAsia="Arial" w:hAnsi="Arial"/>
                <w:color w:val="1E1A14"/>
                <w:sz w:val="21"/>
                <w:szCs w:val="21"/>
              </w:rPr>
              <w:t xml:space="preserve">The 20% discount does NOT automatically apply to AiBI-S or AiBI-L. Those tiers have their own institution thresholds.</w:t>
            </w:r>
          </w:p>
          <w:p>
            <w:pPr>
              <w:spacing w:after="40"/>
            </w:pPr>
            <w:r>
              <w:rPr>
                <w:rFonts w:ascii="Arial" w:cs="Arial" w:eastAsia="Arial" w:hAnsi="Arial"/>
                <w:color w:val="1E1A14"/>
                <w:sz w:val="21"/>
                <w:szCs w:val="21"/>
              </w:rPr>
              <w:t xml:space="preserve">An individual who bought AiBI-P at $79 before their institution bought at the institution tier: their certificate is identical. No downgrade, no refund required.</w:t>
            </w:r>
          </w:p>
        </w:tc>
      </w:tr>
    </w:tbl>
    <w:p>
      <w:pPr>
        <w:spacing w:after="160"/>
      </w:pPr>
    </w:p>
    <w:p>
      <w:pPr>
        <w:pStyle w:val="Heading2"/>
      </w:pPr>
      <w:r>
        <w:rPr>
          <w:rFonts w:ascii="Arial" w:cs="Arial" w:eastAsia="Arial" w:hAnsi="Arial"/>
          <w:b/>
          <w:bCs/>
          <w:color w:val="B5512E"/>
          <w:sz w:val="26"/>
          <w:szCs w:val="26"/>
        </w:rPr>
        <w:t xml:space="preserve">2.2 The Full Sales Funnel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600"/>
        <w:gridCol w:w="5160"/>
      </w:tblGrid>
      <w:tr>
        <w:trPr>
          <w:tblHeader/>
        </w:trPr>
        <w:tc>
          <w:tcPr>
            <w:tcW w:type="dxa" w:w="4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Step</w:t>
            </w:r>
          </w:p>
        </w:tc>
        <w:tc>
          <w:tcPr>
            <w:tcW w:type="dxa" w:w="22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Product</w:t>
            </w:r>
          </w:p>
        </w:tc>
        <w:tc>
          <w:tcPr>
            <w:tcW w:type="dxa" w:w="16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Price</w:t>
            </w:r>
          </w:p>
        </w:tc>
        <w:tc>
          <w:tcPr>
            <w:tcW w:type="dxa" w:w="516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Conversion Goal</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Free 12-question assessment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$0</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Score creates urgency — routes low/mid scorers to $79 course, high scorers to Executive Briefing</w:t>
            </w:r>
          </w:p>
        </w:tc>
      </w:tr>
      <w:tr>
        <w:tc>
          <w:tcPr>
            <w:tcW w:type="dxa" w:w="4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2a</w:t>
            </w:r>
          </w:p>
        </w:tc>
        <w:tc>
          <w:tcPr>
            <w:tcW w:type="dxa" w:w="22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AiBI-P course</w:t>
            </w:r>
          </w:p>
        </w:tc>
        <w:tc>
          <w:tcPr>
            <w:tcW w:type="dxa" w:w="16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$79 individual</w:t>
            </w:r>
          </w:p>
        </w:tc>
        <w:tc>
          <w:tcPr>
            <w:tcW w:type="dxa" w:w="51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Primary product for individual bankers. Clear path: take the course, earn the cert.</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2b</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Executive Briefing (self-booked)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$150–200 — credited</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Pre-work: 30–40 question deep assessment sent automatically via Calendly on booking. Converts to consulting.</w:t>
            </w:r>
          </w:p>
        </w:tc>
      </w:tr>
      <w:tr>
        <w:tc>
          <w:tcPr>
            <w:tcW w:type="dxa" w:w="4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3</w:t>
            </w:r>
          </w:p>
        </w:tc>
        <w:tc>
          <w:tcPr>
            <w:tcW w:type="dxa" w:w="22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Institutional Readiness Report</w:t>
            </w:r>
          </w:p>
        </w:tc>
        <w:tc>
          <w:tcPr>
            <w:tcW w:type="dxa" w:w="16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Included in briefing</w:t>
            </w:r>
          </w:p>
        </w:tc>
        <w:tc>
          <w:tcPr>
            <w:tcW w:type="dxa" w:w="51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Produced post-call from deep assessment data. The document an internal champion takes to their CEO.</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4</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AiBI-S / AiBI-L</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TBD</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Business and enterprise application tiers</w:t>
            </w:r>
          </w:p>
        </w:tc>
      </w:tr>
      <w:tr>
        <w:tc>
          <w:tcPr>
            <w:tcW w:type="dxa" w:w="4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5</w:t>
            </w:r>
          </w:p>
        </w:tc>
        <w:tc>
          <w:tcPr>
            <w:tcW w:type="dxa" w:w="22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Consulting / fCAIO</w:t>
            </w:r>
          </w:p>
        </w:tc>
        <w:tc>
          <w:tcPr>
            <w:tcW w:type="dxa" w:w="16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Quoted</w:t>
            </w:r>
          </w:p>
        </w:tc>
        <w:tc>
          <w:tcPr>
            <w:tcW w:type="dxa" w:w="51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The destination. Ongoing coaching, process refinement, skill library maintenance.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741" w:sz="6"/>
              <w:left w:val="single" w:color="4A6741" w:sz="6"/>
              <w:bottom w:val="single" w:color="4A6741" w:sz="1"/>
              <w:right w:val="single" w:color="4A6741" w:sz="1"/>
            </w:tcBorders>
            <w:shd w:fill="EBF5F0" w:val="clear"/>
            <w:tcMar>
              <w:top w:type="dxa" w:w="120"/>
              <w:left w:type="dxa" w:w="160"/>
              <w:bottom w:type="dxa" w:w="120"/>
              <w:right w:type="dxa" w:w="160"/>
            </w:tcMar>
          </w:tcPr>
          <w:p>
            <w:pPr>
              <w:spacing w:after="60"/>
            </w:pPr>
            <w:r>
              <w:rPr>
                <w:rFonts w:ascii="Arial" w:cs="Arial" w:eastAsia="Arial" w:hAnsi="Arial"/>
                <w:b/>
                <w:bCs/>
                <w:color w:val="4A6741"/>
                <w:sz w:val="18"/>
                <w:szCs w:val="18"/>
              </w:rPr>
              <w:t xml:space="preserve">THE EXECUTIVE BRIEFING FLOW</w:t>
            </w:r>
          </w:p>
          <w:p>
            <w:pPr>
              <w:spacing w:after="40"/>
            </w:pPr>
            <w:r>
              <w:rPr>
                <w:rFonts w:ascii="Arial" w:cs="Arial" w:eastAsia="Arial" w:hAnsi="Arial"/>
                <w:color w:val="1E1A14"/>
                <w:sz w:val="21"/>
                <w:szCs w:val="21"/>
              </w:rPr>
              <w:t xml:space="preserve">Someone books via Calendly. Confirmation email fires automatically with link to 30–40 question pre-work assessment.</w:t>
            </w:r>
          </w:p>
          <w:p>
            <w:pPr>
              <w:spacing w:after="40"/>
            </w:pPr>
            <w:r>
              <w:rPr>
                <w:rFonts w:ascii="Arial" w:cs="Arial" w:eastAsia="Arial" w:hAnsi="Arial"/>
                <w:color w:val="1E1A14"/>
                <w:sz w:val="21"/>
                <w:szCs w:val="21"/>
              </w:rPr>
              <w:t xml:space="preserve">They complete it before the call. You walk in with their scores across every dimension.</w:t>
            </w:r>
          </w:p>
          <w:p>
            <w:pPr>
              <w:spacing w:after="40"/>
            </w:pPr>
            <w:r>
              <w:rPr>
                <w:rFonts w:ascii="Arial" w:cs="Arial" w:eastAsia="Arial" w:hAnsi="Arial"/>
                <w:color w:val="1E1A14"/>
                <w:sz w:val="21"/>
                <w:szCs w:val="21"/>
              </w:rPr>
              <w:t xml:space="preserve">If they don’t complete it: use their 12-question public score. Open the call there and fill gaps verbally.</w:t>
            </w:r>
          </w:p>
          <w:p>
            <w:pPr>
              <w:spacing w:after="40"/>
            </w:pPr>
            <w:r>
              <w:rPr>
                <w:rFonts w:ascii="Arial" w:cs="Arial" w:eastAsia="Arial" w:hAnsi="Arial"/>
                <w:color w:val="1E1A14"/>
                <w:sz w:val="21"/>
                <w:szCs w:val="21"/>
              </w:rPr>
              <w:t xml:space="preserve">Post-call: produce the Institutional Readiness Report PDF from the deep assessment data. This is the document their internal champion uses to sell AI adoption to the board.</w:t>
            </w:r>
          </w:p>
          <w:p>
            <w:pPr>
              <w:spacing w:after="40"/>
            </w:pPr>
            <w:r>
              <w:rPr>
                <w:rFonts w:ascii="Arial" w:cs="Arial" w:eastAsia="Arial" w:hAnsi="Arial"/>
                <w:color w:val="1E1A14"/>
                <w:sz w:val="21"/>
                <w:szCs w:val="21"/>
              </w:rPr>
              <w:t xml:space="preserve">The $150–200 briefing fee is credited toward the first engagement. Protects your time as volume increases.</w:t>
            </w:r>
          </w:p>
        </w:tc>
      </w:tr>
    </w:tbl>
    <w:p>
      <w:pPr>
        <w:spacing w:after="160"/>
      </w:pPr>
    </w:p>
    <w:p>
      <w:r>
        <w:br w:type="page"/>
      </w:r>
    </w:p>
    <w:p>
      <w:pPr>
        <w:pStyle w:val="Heading1"/>
      </w:pPr>
      <w:r>
        <w:rPr>
          <w:rFonts w:ascii="Arial" w:cs="Arial" w:eastAsia="Arial" w:hAnsi="Arial"/>
          <w:b/>
          <w:bCs/>
          <w:color w:val="1E1A14"/>
          <w:sz w:val="32"/>
          <w:szCs w:val="32"/>
        </w:rPr>
        <w:t xml:space="preserve">3. The Free Assessment — Conversion Gateway</w:t>
      </w:r>
    </w:p>
    <w:p>
      <w:pPr>
        <w:pStyle w:val="Heading2"/>
      </w:pPr>
      <w:r>
        <w:rPr>
          <w:rFonts w:ascii="Arial" w:cs="Arial" w:eastAsia="Arial" w:hAnsi="Arial"/>
          <w:b/>
          <w:bCs/>
          <w:color w:val="B5512E"/>
          <w:sz w:val="26"/>
          <w:szCs w:val="26"/>
        </w:rPr>
        <w:t xml:space="preserve">3.1 Assessment Design</w:t>
      </w:r>
    </w:p>
    <w:p>
      <w:pPr>
        <w:spacing w:after="120"/>
      </w:pPr>
      <w:r>
        <w:rPr>
          <w:rFonts w:ascii="Arial" w:cs="Arial" w:eastAsia="Arial" w:hAnsi="Arial"/>
          <w:i w:val="false"/>
          <w:iCs w:val="false"/>
          <w:color w:val="6B6355"/>
          <w:sz w:val="22"/>
          <w:szCs w:val="22"/>
        </w:rPr>
        <w:t xml:space="preserve">The free assessment is the top of the funnel. It must do three things: be completable in under 4 minutes on mobile, deliver a score that creates genuine urgency, and make the $79 course feel like the obvious next step.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Design Element</w:t>
            </w:r>
          </w:p>
        </w:tc>
        <w:tc>
          <w:tcPr>
            <w:tcW w:type="dxa" w:w="676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Specification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Questions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12 questions shown per session, rotating from a pool of 40–50</w:t>
            </w:r>
          </w:p>
        </w:tc>
      </w:tr>
      <w:tr>
        <w:tc>
          <w:tcPr>
            <w:tcW w:type="dxa" w:w="26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Rotation logic</w:t>
            </w:r>
          </w:p>
        </w:tc>
        <w:tc>
          <w:tcPr>
            <w:tcW w:type="dxa" w:w="67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At least one question per each of the 8 core dimensions, 4 questions randomly distributed across dimensions. This ensures consistent diagnostic value while keeping repeat attempts fresh.</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Answer format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Single select, 4 options per question, no “skip” option</w:t>
            </w:r>
          </w:p>
        </w:tc>
      </w:tr>
      <w:tr>
        <w:tc>
          <w:tcPr>
            <w:tcW w:type="dxa" w:w="26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Mobile target</w:t>
            </w:r>
          </w:p>
        </w:tc>
        <w:tc>
          <w:tcPr>
            <w:tcW w:type="dxa" w:w="67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Completable on iPhone Safari in under 4 minutes. One question per view on mobile.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Score range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12–48 (12 questions × 4 points max)</w:t>
            </w:r>
          </w:p>
        </w:tc>
      </w:tr>
      <w:tr>
        <w:tc>
          <w:tcPr>
            <w:tcW w:type="dxa" w:w="26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Progress indicator</w:t>
            </w:r>
          </w:p>
        </w:tc>
        <w:tc>
          <w:tcPr>
            <w:tcW w:type="dxa" w:w="67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Visible throughout — “Question 4 of 12”</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No back navigation</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Once answered, a question cannot be changed. Prevents second-guessing and inflated scores.</w:t>
            </w:r>
          </w:p>
        </w:tc>
      </w:tr>
    </w:tbl>
    <w:p>
      <w:pPr>
        <w:spacing w:after="160"/>
      </w:pPr>
    </w:p>
    <w:p>
      <w:pPr>
        <w:pStyle w:val="Heading2"/>
      </w:pPr>
      <w:r>
        <w:rPr>
          <w:rFonts w:ascii="Arial" w:cs="Arial" w:eastAsia="Arial" w:hAnsi="Arial"/>
          <w:b/>
          <w:bCs/>
          <w:color w:val="B5512E"/>
          <w:sz w:val="26"/>
          <w:szCs w:val="26"/>
        </w:rPr>
        <w:t xml:space="preserve">3.2 The 8 Dimensions</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360"/>
        <w:gridCol w:w="2000"/>
        <w:gridCol w:w="6960"/>
      </w:tblGrid>
      <w:tr>
        <w:trPr>
          <w:tblHeader/>
        </w:trPr>
        <w:tc>
          <w:tcPr>
            <w:tcW w:type="dxa" w:w="36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w:t>
            </w:r>
          </w:p>
        </w:tc>
        <w:tc>
          <w:tcPr>
            <w:tcW w:type="dxa" w:w="20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Dimension</w:t>
            </w:r>
          </w:p>
        </w:tc>
        <w:tc>
          <w:tcPr>
            <w:tcW w:type="dxa" w:w="696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What It Measures</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1</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Current AI Usage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Are staff currently using any AI tools for work tasks?</w:t>
            </w:r>
          </w:p>
        </w:tc>
      </w:tr>
      <w:tr>
        <w:tc>
          <w:tcPr>
            <w:tcW w:type="dxa" w:w="3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2</w:t>
            </w:r>
          </w:p>
        </w:tc>
        <w:tc>
          <w:tcPr>
            <w:tcW w:type="dxa" w:w="20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Experimentation Culture</w:t>
            </w:r>
          </w:p>
        </w:tc>
        <w:tc>
          <w:tcPr>
            <w:tcW w:type="dxa" w:w="69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Does the institution support trying new tools?</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3</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AI Literacy Level</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Do staff understand what AI can and cannot do?</w:t>
            </w:r>
          </w:p>
        </w:tc>
      </w:tr>
      <w:tr>
        <w:tc>
          <w:tcPr>
            <w:tcW w:type="dxa" w:w="3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4</w:t>
            </w:r>
          </w:p>
        </w:tc>
        <w:tc>
          <w:tcPr>
            <w:tcW w:type="dxa" w:w="20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Quick Win Potential</w:t>
            </w:r>
          </w:p>
        </w:tc>
        <w:tc>
          <w:tcPr>
            <w:tcW w:type="dxa" w:w="69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Are there identified manual workflows AI could address?</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5</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Leadership Buy-In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Has leadership allocated time or budget for AI?</w:t>
            </w:r>
          </w:p>
        </w:tc>
      </w:tr>
      <w:tr>
        <w:tc>
          <w:tcPr>
            <w:tcW w:type="dxa" w:w="3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6</w:t>
            </w:r>
          </w:p>
        </w:tc>
        <w:tc>
          <w:tcPr>
            <w:tcW w:type="dxa" w:w="20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Security Posture</w:t>
            </w:r>
          </w:p>
        </w:tc>
        <w:tc>
          <w:tcPr>
            <w:tcW w:type="dxa" w:w="69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Does the institution have AI use guidelines in place?</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7</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Training Infrastructure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Does the institution have capacity to deliver and sustain learning programs?</w:t>
            </w:r>
          </w:p>
        </w:tc>
      </w:tr>
      <w:tr>
        <w:tc>
          <w:tcPr>
            <w:tcW w:type="dxa" w:w="3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8</w:t>
            </w:r>
          </w:p>
        </w:tc>
        <w:tc>
          <w:tcPr>
            <w:tcW w:type="dxa" w:w="20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Builder Potential</w:t>
            </w:r>
          </w:p>
        </w:tc>
        <w:tc>
          <w:tcPr>
            <w:tcW w:type="dxa" w:w="69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Do staff have appetite to build or automate their own workflows?</w:t>
            </w:r>
          </w:p>
        </w:tc>
      </w:tr>
    </w:tbl>
    <w:p>
      <w:pPr>
        <w:spacing w:after="160"/>
      </w:pPr>
    </w:p>
    <w:p>
      <w:pPr>
        <w:pStyle w:val="Heading2"/>
      </w:pPr>
      <w:r>
        <w:rPr>
          <w:rFonts w:ascii="Arial" w:cs="Arial" w:eastAsia="Arial" w:hAnsi="Arial"/>
          <w:b/>
          <w:bCs/>
          <w:color w:val="B5512E"/>
          <w:sz w:val="26"/>
          <w:szCs w:val="26"/>
        </w:rPr>
        <w:t xml:space="preserve">3.3 Score Tiers and Routing</w:t>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3200"/>
        <w:gridCol w:w="4360"/>
      </w:tblGrid>
      <w:tr>
        <w:trPr>
          <w:tblHeader/>
        </w:trPr>
        <w:tc>
          <w:tcPr>
            <w:tcW w:type="dxa" w:w="10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Score</w:t>
            </w:r>
          </w:p>
        </w:tc>
        <w:tc>
          <w:tcPr>
            <w:tcW w:type="dxa" w:w="15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Tier</w:t>
            </w:r>
          </w:p>
        </w:tc>
        <w:tc>
          <w:tcPr>
            <w:tcW w:type="dxa" w:w="32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Description</w:t>
            </w:r>
          </w:p>
        </w:tc>
        <w:tc>
          <w:tcPr>
            <w:tcW w:type="dxa" w:w="436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Routing</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12–22</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Starting Point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Most community FIs begin here. Tools not in use yet.</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Primary CTA: “Get started with AiBI-P — $79”. Secondary: book Executive Briefing.</w:t>
            </w:r>
          </w:p>
        </w:tc>
      </w:tr>
      <w:tr>
        <w:tc>
          <w:tcPr>
            <w:tcW w:type="dxa" w:w="10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23–32</w:t>
            </w:r>
          </w:p>
        </w:tc>
        <w:tc>
          <w:tcPr>
            <w:tcW w:type="dxa" w:w="15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Early Stage</w:t>
            </w:r>
          </w:p>
        </w:tc>
        <w:tc>
          <w:tcPr>
            <w:tcW w:type="dxa" w:w="32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Some experimentation happening. Quick wins available now.</w:t>
            </w:r>
          </w:p>
        </w:tc>
        <w:tc>
          <w:tcPr>
            <w:tcW w:type="dxa" w:w="43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Primary CTA: AiBI-P. Secondary: Executive Briefing.</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33–40</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Building Momentum</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Real progress. Time to standardize and measure.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Primary CTA: Executive Briefing. Secondary: AiBI-P.</w:t>
            </w:r>
          </w:p>
        </w:tc>
      </w:tr>
      <w:tr>
        <w:tc>
          <w:tcPr>
            <w:tcW w:type="dxa" w:w="10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41–48</w:t>
            </w:r>
          </w:p>
        </w:tc>
        <w:tc>
          <w:tcPr>
            <w:tcW w:type="dxa" w:w="15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Ready to Scale</w:t>
            </w:r>
          </w:p>
        </w:tc>
        <w:tc>
          <w:tcPr>
            <w:tcW w:type="dxa" w:w="32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Strong foundation. Time for AiBI-S and consulting.</w:t>
            </w:r>
          </w:p>
        </w:tc>
        <w:tc>
          <w:tcPr>
            <w:tcW w:type="dxa" w:w="43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Primary CTA: Executive Briefing. Note: “You may be ready to skip to AiBI-S.”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2226" w:sz="6"/>
              <w:left w:val="single" w:color="9B2226" w:sz="6"/>
              <w:bottom w:val="single" w:color="9B2226" w:sz="1"/>
              <w:right w:val="single" w:color="9B2226" w:sz="1"/>
            </w:tcBorders>
            <w:shd w:fill="FDECEA" w:val="clear"/>
            <w:tcMar>
              <w:top w:type="dxa" w:w="120"/>
              <w:left w:type="dxa" w:w="160"/>
              <w:bottom w:type="dxa" w:w="120"/>
              <w:right w:type="dxa" w:w="160"/>
            </w:tcMar>
          </w:tcPr>
          <w:p>
            <w:pPr>
              <w:spacing w:after="60"/>
            </w:pPr>
            <w:r>
              <w:rPr>
                <w:rFonts w:ascii="Arial" w:cs="Arial" w:eastAsia="Arial" w:hAnsi="Arial"/>
                <w:b/>
                <w:bCs/>
                <w:color w:val="9B2226"/>
                <w:sz w:val="18"/>
                <w:szCs w:val="18"/>
              </w:rPr>
              <w:t xml:space="preserve">CRITICAL: SCORE VISIBLE WITHOUT EMAIL GATE</w:t>
            </w:r>
          </w:p>
          <w:p>
            <w:pPr>
              <w:spacing w:after="40"/>
            </w:pPr>
            <w:r>
              <w:rPr>
                <w:rFonts w:ascii="Arial" w:cs="Arial" w:eastAsia="Arial" w:hAnsi="Arial"/>
                <w:color w:val="1E1A14"/>
                <w:sz w:val="21"/>
                <w:szCs w:val="21"/>
              </w:rPr>
              <w:t xml:space="preserve">The score and tier label are shown immediately after submission — no email required. Email is requested for the detailed dimension breakdown and personalized roadmap. Gating the score destroys the value proposition. If the score is hidden, the assessment loses its reason to exist.</w:t>
            </w:r>
          </w:p>
        </w:tc>
      </w:tr>
    </w:tbl>
    <w:p>
      <w:pPr>
        <w:spacing w:after="160"/>
      </w:pPr>
    </w:p>
    <w:p>
      <w:r>
        <w:br w:type="page"/>
      </w:r>
    </w:p>
    <w:p>
      <w:pPr>
        <w:pStyle w:val="Heading1"/>
      </w:pPr>
      <w:r>
        <w:rPr>
          <w:rFonts w:ascii="Arial" w:cs="Arial" w:eastAsia="Arial" w:hAnsi="Arial"/>
          <w:b/>
          <w:bCs/>
          <w:color w:val="1E1A14"/>
          <w:sz w:val="32"/>
          <w:szCs w:val="32"/>
        </w:rPr>
        <w:t xml:space="preserve">4. Pillar I — Awareness</w:t>
      </w:r>
    </w:p>
    <w:p>
      <w:pPr>
        <w:spacing w:after="120"/>
      </w:pPr>
      <w:r>
        <w:rPr>
          <w:rFonts w:ascii="Arial" w:cs="Arial" w:eastAsia="Arial" w:hAnsi="Arial"/>
          <w:i/>
          <w:iCs/>
          <w:color w:val="6B6355"/>
          <w:sz w:val="22"/>
          <w:szCs w:val="22"/>
        </w:rPr>
        <w:t xml:space="preserve">Two modules. The learner leaves knowing what regulatory frameworks apply to AI in banking and what tools exist across the full landscape.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4A6741" w:val="clear"/>
            <w:tcMar>
              <w:top w:type="dxa" w:w="140"/>
              <w:left w:type="dxa" w:w="140"/>
              <w:bottom w:type="dxa" w:w="140"/>
              <w:right w:type="dxa" w:w="140"/>
            </w:tcMar>
            <w:vAlign w:val="center"/>
          </w:tcPr>
          <w:p>
            <w:pPr>
              <w:jc w:val="center"/>
            </w:pPr>
            <w:r>
              <w:rPr>
                <w:rFonts w:ascii="Arial" w:cs="Arial" w:eastAsia="Arial" w:hAnsi="Arial"/>
                <w:b/>
                <w:bCs/>
                <w:color w:val="FFFFFF"/>
                <w:sz w:val="36"/>
                <w:szCs w:val="36"/>
              </w:rPr>
              <w:t xml:space="preserve">M1</w:t>
            </w:r>
          </w:p>
          <w:p>
            <w:pPr>
              <w:jc w:val="center"/>
            </w:pPr>
            <w:r>
              <w:rPr>
                <w:rFonts w:ascii="Arial" w:cs="Arial" w:eastAsia="Arial" w:hAnsi="Arial"/>
                <w:i/>
                <w:iCs/>
                <w:color w:val="FFFFFF"/>
                <w:sz w:val="14"/>
                <w:szCs w:val="14"/>
              </w:rPr>
              <w:t xml:space="preserve">Awareness</w:t>
            </w:r>
          </w:p>
          <w:p>
            <w:pPr>
              <w:jc w:val="center"/>
            </w:pPr>
            <w:r>
              <w:rPr>
                <w:rFonts w:ascii="Arial" w:cs="Arial" w:eastAsia="Arial" w:hAnsi="Arial"/>
                <w:color w:val="FFFFFF"/>
                <w:sz w:val="14"/>
                <w:szCs w:val="14"/>
              </w:rPr>
              <w:t xml:space="preserve">~20 min</w:t>
            </w:r>
          </w:p>
        </w:tc>
        <w:tc>
          <w:tcPr>
            <w:tcW w:type="dxa" w:w="8260"/>
            <w:tcBorders>
              <w:top w:val="none" w:color="FFFFFF" w:sz="0"/>
              <w:left w:val="none" w:color="FFFFFF" w:sz="0"/>
              <w:bottom w:val="none" w:color="FFFFFF" w:sz="0"/>
              <w:right w:val="none" w:color="FFFFFF" w:sz="0"/>
            </w:tcBorders>
            <w:shd w:fill="EDE6D8" w:val="clear"/>
            <w:tcMar>
              <w:top w:type="dxa" w:w="140"/>
              <w:left w:type="dxa" w:w="180"/>
              <w:bottom w:type="dxa" w:w="140"/>
              <w:right w:type="dxa" w:w="140"/>
            </w:tcMar>
          </w:tcPr>
          <w:p>
            <w:pPr>
              <w:spacing w:after="50"/>
            </w:pPr>
            <w:r>
              <w:rPr>
                <w:rFonts w:ascii="Arial" w:cs="Arial" w:eastAsia="Arial" w:hAnsi="Arial"/>
                <w:b/>
                <w:bCs/>
                <w:color w:val="1E1A14"/>
                <w:sz w:val="28"/>
                <w:szCs w:val="28"/>
              </w:rPr>
              <w:t xml:space="preserve">The Regulatory Landscape</w:t>
            </w:r>
          </w:p>
          <w:p>
            <w:pPr>
              <w:spacing w:after="0"/>
            </w:pPr>
            <w:r>
              <w:rPr>
                <w:rFonts w:ascii="Arial" w:cs="Arial" w:eastAsia="Arial" w:hAnsi="Arial"/>
                <w:i/>
                <w:iCs/>
                <w:color w:val="6B6355"/>
                <w:sz w:val="21"/>
                <w:szCs w:val="21"/>
              </w:rPr>
              <w:t xml:space="preserve">Learning goal: The learner can name the key regulatory frameworks that apply to AI in banking and explain in plain language how each one affects their daily work.</w:t>
            </w:r>
          </w:p>
        </w:tc>
      </w:tr>
    </w:tbl>
    <w:p>
      <w:pPr>
        <w:spacing w:after="80"/>
      </w:pPr>
    </w:p>
    <w:p>
      <w:pPr>
        <w:pStyle w:val="Heading3"/>
      </w:pPr>
      <w:r>
        <w:rPr>
          <w:rFonts w:ascii="Arial" w:cs="Arial" w:eastAsia="Arial" w:hAnsi="Arial"/>
          <w:b/>
          <w:bCs/>
          <w:color w:val="1E1A14"/>
          <w:sz w:val="22"/>
          <w:szCs w:val="22"/>
        </w:rPr>
        <w:t xml:space="preserve">Why This Module Exists</w:t>
      </w:r>
    </w:p>
    <w:p>
      <w:pPr>
        <w:spacing w:after="120"/>
      </w:pPr>
      <w:r>
        <w:rPr>
          <w:rFonts w:ascii="Arial" w:cs="Arial" w:eastAsia="Arial" w:hAnsi="Arial"/>
          <w:i w:val="false"/>
          <w:iCs w:val="false"/>
          <w:color w:val="6B6355"/>
          <w:sz w:val="22"/>
          <w:szCs w:val="22"/>
        </w:rPr>
        <w:t xml:space="preserve">Most AI training programs skip the regulatory context entirely or bury it in a compliance section nobody reads. AiBI-P puts it first — not to scare people off AI, but to establish the professional frame. A banker who understands the regulatory landscape uses AI differently than one who doesn’t. They ask better questions, they build better governance instincts, and they are less likely to create compliance problems.</w:t>
      </w:r>
    </w:p>
    <w:p>
      <w:pPr>
        <w:spacing w:after="80"/>
      </w:pPr>
    </w:p>
    <w:p>
      <w:pPr>
        <w:spacing w:after="120"/>
      </w:pPr>
      <w:r>
        <w:rPr>
          <w:rFonts w:ascii="Arial" w:cs="Arial" w:eastAsia="Arial" w:hAnsi="Arial"/>
          <w:i w:val="false"/>
          <w:iCs w:val="false"/>
          <w:color w:val="6B6355"/>
          <w:sz w:val="22"/>
          <w:szCs w:val="22"/>
        </w:rPr>
        <w:t xml:space="preserve">This module is awareness-level only. It is not a compliance training course. The goal is not for every staff member to be able to recite SR 11-7 verbatim — it is for every staff member to answer the question: “Is what I’m doing with AI something my institution can defend?”</w:t>
      </w:r>
    </w:p>
    <w:p>
      <w:pPr>
        <w:spacing w:after="160"/>
      </w:pPr>
    </w:p>
    <w:p>
      <w:pPr>
        <w:pStyle w:val="Heading3"/>
      </w:pPr>
      <w:r>
        <w:rPr>
          <w:rFonts w:ascii="Arial" w:cs="Arial" w:eastAsia="Arial" w:hAnsi="Arial"/>
          <w:b/>
          <w:bCs/>
          <w:color w:val="1E1A14"/>
          <w:sz w:val="22"/>
          <w:szCs w:val="22"/>
        </w:rPr>
        <w:t xml:space="preserve">Content Specification</w:t>
      </w:r>
    </w:p>
    <w:p>
      <w:pPr>
        <w:spacing w:after="120"/>
      </w:pPr>
      <w:r>
        <w:rPr>
          <w:rFonts w:ascii="Arial" w:cs="Arial" w:eastAsia="Arial" w:hAnsi="Arial"/>
          <w:b/>
          <w:bCs/>
          <w:color w:val="1E1A14"/>
          <w:sz w:val="22"/>
          <w:szCs w:val="22"/>
        </w:rPr>
        <w:t xml:space="preserve">Opening frame: The regulatory environment through 2026</w:t>
      </w:r>
    </w:p>
    <w:p>
      <w:pPr>
        <w:spacing w:after="120"/>
      </w:pPr>
      <w:r>
        <w:rPr>
          <w:rFonts w:ascii="Arial" w:cs="Arial" w:eastAsia="Arial" w:hAnsi="Arial"/>
          <w:i w:val="false"/>
          <w:iCs w:val="false"/>
          <w:color w:val="6B6355"/>
          <w:sz w:val="22"/>
          <w:szCs w:val="22"/>
        </w:rPr>
        <w:t xml:space="preserve">Begin with context-setting: as of early 2026, there is no single comprehensive AI regulation in US banking. What exists instead is a set of existing frameworks being applied to AI use cases by examiners and regulators. The AIEOG AI Lexicon, published February 2026 by the US Treasury in partnership with FBIIC and FSSCC, represents the most current shared vocabulary. The curriculum uses this vocabulary throughout.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2560"/>
      </w:tblGrid>
      <w:tr>
        <w:trPr>
          <w:tblHeader/>
        </w:trPr>
        <w:tc>
          <w:tcPr>
            <w:tcW w:type="dxa" w:w="20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Framework</w:t>
            </w:r>
          </w:p>
        </w:tc>
        <w:tc>
          <w:tcPr>
            <w:tcW w:type="dxa" w:w="20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What It Is</w:t>
            </w:r>
          </w:p>
        </w:tc>
        <w:tc>
          <w:tcPr>
            <w:tcW w:type="dxa" w:w="28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How It Applies to AI</w:t>
            </w:r>
          </w:p>
        </w:tc>
        <w:tc>
          <w:tcPr>
            <w:tcW w:type="dxa" w:w="256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Staff-Level Impact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SR 11-7</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Federal Reserve model risk management guidance (2011). OCC and FDIC have confirmed it applies to AI/ML models.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Governs traditional ML models like credit scoring, fraud detection, overdraft eligibility. Requires model documentation, validation, and ongoing monitoring.</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If you use AI in a credit decision or fraud analysis, someone at your institution needs to be able to explain how the model works and document its risk.</w:t>
            </w:r>
          </w:p>
        </w:tc>
      </w:tr>
      <w:tr>
        <w:tc>
          <w:tcPr>
            <w:tcW w:type="dxa" w:w="20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Interagency TPRM Guidance (2023)</w:t>
            </w:r>
          </w:p>
        </w:tc>
        <w:tc>
          <w:tcPr>
            <w:tcW w:type="dxa" w:w="20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OCC/FDIC/Federal Reserve guidance on managing third-party relationships.</w:t>
            </w:r>
          </w:p>
        </w:tc>
        <w:tc>
          <w:tcPr>
            <w:tcW w:type="dxa" w:w="28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AI vendors are third-party relationships. Concentration risk, exit provisions, SLA requirements, and due diligence requirements apply.</w:t>
            </w:r>
          </w:p>
        </w:tc>
        <w:tc>
          <w:tcPr>
            <w:tcW w:type="dxa" w:w="25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Before your institution signs a contract with an AI vendor, someone needs to run it through the TPRM framework. This is not your job — but knowing it exists makes you a better internal voice.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ECOA / Reg B</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Equal Credit Opportunity Act and implementing regulation.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Requires institutions to provide adverse action notices for credit decisions. AI-assisted credit decisions must be explainable.</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If AI helps make a credit decision, the institution must be able to explain why. “The model said so” is not a sufficient adverse action notice.</w:t>
            </w:r>
          </w:p>
        </w:tc>
      </w:tr>
      <w:tr>
        <w:tc>
          <w:tcPr>
            <w:tcW w:type="dxa" w:w="20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BSA / AML</w:t>
            </w:r>
          </w:p>
        </w:tc>
        <w:tc>
          <w:tcPr>
            <w:tcW w:type="dxa" w:w="20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Bank Secrecy Act and anti-money laundering requirements.</w:t>
            </w:r>
          </w:p>
        </w:tc>
        <w:tc>
          <w:tcPr>
            <w:tcW w:type="dxa" w:w="28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AI is being used in transaction monitoring and SAR narrative drafting. Human oversight requirements remain unchanged.</w:t>
            </w:r>
          </w:p>
        </w:tc>
        <w:tc>
          <w:tcPr>
            <w:tcW w:type="dxa" w:w="25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AI can help draft a SAR narrative. The BSA officer still decides what the narrative says and is legally accountable for what is filed.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AIEOG AI Lexicon (Feb 2026)</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Shared AI vocabulary developed by US Treasury, FBIIC, and FSSCC.</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Establishes common definitions used by regulators and examiners. Not a regulation — but the vocabulary your examiner will use.</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If an examiner asks about your “AI use case inventory,” this is the document that defines what that phrase means. We use its definitions throughout this course.</w:t>
            </w:r>
          </w:p>
        </w:tc>
      </w:tr>
    </w:tbl>
    <w:p>
      <w:pPr>
        <w:spacing w:after="80"/>
      </w:pPr>
    </w:p>
    <w:p>
      <w:pPr>
        <w:spacing w:after="120"/>
      </w:pPr>
      <w:r>
        <w:rPr>
          <w:rFonts w:ascii="Arial" w:cs="Arial" w:eastAsia="Arial" w:hAnsi="Arial"/>
          <w:b/>
          <w:bCs/>
          <w:color w:val="1E1A14"/>
          <w:sz w:val="22"/>
          <w:szCs w:val="22"/>
        </w:rPr>
        <w:t xml:space="preserve">The AI use case inventory — why every staff member needs to know this term</w:t>
      </w:r>
    </w:p>
    <w:p>
      <w:pPr>
        <w:spacing w:after="120"/>
      </w:pPr>
      <w:r>
        <w:rPr>
          <w:rFonts w:ascii="Arial" w:cs="Arial" w:eastAsia="Arial" w:hAnsi="Arial"/>
          <w:i w:val="false"/>
          <w:iCs w:val="false"/>
          <w:color w:val="6B6355"/>
          <w:sz w:val="22"/>
          <w:szCs w:val="22"/>
        </w:rPr>
        <w:t xml:space="preserve">AIEOG definition: “A maintained repository or listing of an organization’s AI use cases, intended to support governance, transparency, and risk management by documenting where and how AI is designed, developed, procured, or used.”</w:t>
      </w:r>
    </w:p>
    <w:p>
      <w:pPr>
        <w:spacing w:after="80"/>
      </w:pPr>
    </w:p>
    <w:p>
      <w:pPr>
        <w:spacing w:after="120"/>
      </w:pPr>
      <w:r>
        <w:rPr>
          <w:rFonts w:ascii="Arial" w:cs="Arial" w:eastAsia="Arial" w:hAnsi="Arial"/>
          <w:i w:val="false"/>
          <w:iCs w:val="false"/>
          <w:color w:val="6B6355"/>
          <w:sz w:val="22"/>
          <w:szCs w:val="22"/>
        </w:rPr>
        <w:t xml:space="preserve">In plain language: it is a list of every way your institution uses AI, who owns each use case, what data it touches, and what the output is. Examiners ask for this. If your institution does not have one, it is a gap. If you use AI at work and your institution does not know about it — that is shadow AI — and it does not belong in the inventory because it has not been approved.</w:t>
      </w:r>
    </w:p>
    <w:p>
      <w:pPr>
        <w:spacing w:after="80"/>
      </w:pPr>
    </w:p>
    <w:p>
      <w:pPr>
        <w:spacing w:after="120"/>
      </w:pPr>
      <w:r>
        <w:rPr>
          <w:rFonts w:ascii="Arial" w:cs="Arial" w:eastAsia="Arial" w:hAnsi="Arial"/>
          <w:i w:val="false"/>
          <w:iCs w:val="false"/>
          <w:color w:val="6B6355"/>
          <w:sz w:val="22"/>
          <w:szCs w:val="22"/>
        </w:rPr>
        <w:t xml:space="preserve">Staff implication: if you build a skill or automation as part of this course, and you use it for actual institution work, your compliance officer or manager needs to know about it. This is not about getting permission to learn — it is about governance of what you eventually deploy.</w:t>
      </w:r>
    </w:p>
    <w:p>
      <w:pPr>
        <w:spacing w:after="160"/>
      </w:pPr>
    </w:p>
    <w:p>
      <w:pPr>
        <w:spacing w:after="120"/>
      </w:pPr>
      <w:r>
        <w:rPr>
          <w:rFonts w:ascii="Arial" w:cs="Arial" w:eastAsia="Arial" w:hAnsi="Arial"/>
          <w:b/>
          <w:bCs/>
          <w:color w:val="1E1A14"/>
          <w:sz w:val="22"/>
          <w:szCs w:val="22"/>
        </w:rPr>
        <w:t xml:space="preserve">The governed vs. ungoverned frame</w:t>
      </w:r>
    </w:p>
    <w:p>
      <w:pPr>
        <w:spacing w:after="120"/>
      </w:pPr>
      <w:r>
        <w:rPr>
          <w:rFonts w:ascii="Arial" w:cs="Arial" w:eastAsia="Arial" w:hAnsi="Arial"/>
          <w:i w:val="false"/>
          <w:iCs w:val="false"/>
          <w:color w:val="6B6355"/>
          <w:sz w:val="22"/>
          <w:szCs w:val="22"/>
        </w:rPr>
        <w:t xml:space="preserve">The choice your institution faces is not ‘AI versus no AI.’ It is ‘governed AI versus ungoverned AI.’ Ungoverned AI is already here. Most employees at most institutions are using AI tools in ways that are not officially sanctioned or tracked. The question is whether that use is operating with guardrails or without them. This course puts the guardrails in place.</w:t>
      </w:r>
    </w:p>
    <w:p>
      <w:pPr>
        <w:spacing w:after="160"/>
      </w:pPr>
    </w:p>
    <w:p>
      <w:pPr>
        <w:pStyle w:val="Heading3"/>
      </w:pPr>
      <w:r>
        <w:rPr>
          <w:rFonts w:ascii="Arial" w:cs="Arial" w:eastAsia="Arial" w:hAnsi="Arial"/>
          <w:b/>
          <w:bCs/>
          <w:color w:val="1E1A14"/>
          <w:sz w:val="22"/>
          <w:szCs w:val="22"/>
        </w:rPr>
        <w:t xml:space="preserve">Activity 1.1 — The Regulatory Cheatsheet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741" w:sz="6"/>
              <w:left w:val="single" w:color="4A6741" w:sz="6"/>
              <w:bottom w:val="single" w:color="4A6741" w:sz="1"/>
              <w:right w:val="single" w:color="4A6741" w:sz="1"/>
            </w:tcBorders>
            <w:shd w:fill="EBF5F0" w:val="clear"/>
            <w:tcMar>
              <w:top w:type="dxa" w:w="120"/>
              <w:left w:type="dxa" w:w="160"/>
              <w:bottom w:type="dxa" w:w="120"/>
              <w:right w:type="dxa" w:w="160"/>
            </w:tcMar>
          </w:tcPr>
          <w:p>
            <w:pPr>
              <w:spacing w:after="60"/>
            </w:pPr>
            <w:r>
              <w:rPr>
                <w:rFonts w:ascii="Arial" w:cs="Arial" w:eastAsia="Arial" w:hAnsi="Arial"/>
                <w:b/>
                <w:bCs/>
                <w:color w:val="4A6741"/>
                <w:sz w:val="18"/>
                <w:szCs w:val="18"/>
              </w:rPr>
              <w:t xml:space="preserve">ACTIVITY 1.1</w:t>
            </w:r>
          </w:p>
          <w:p>
            <w:pPr>
              <w:spacing w:after="40"/>
            </w:pPr>
            <w:r>
              <w:rPr>
                <w:rFonts w:ascii="Arial" w:cs="Arial" w:eastAsia="Arial" w:hAnsi="Arial"/>
                <w:color w:val="1E1A14"/>
                <w:sz w:val="21"/>
                <w:szCs w:val="21"/>
              </w:rPr>
              <w:t xml:space="preserve">The regulatory landscape will change. New guidance will be issued. What you know today will need to be updated.</w:t>
            </w:r>
          </w:p>
          <w:p>
            <w:pPr>
              <w:spacing w:after="40"/>
            </w:pPr>
            <w:r>
              <w:rPr>
                <w:rFonts w:ascii="Arial" w:cs="Arial" w:eastAsia="Arial" w:hAnsi="Arial"/>
                <w:color w:val="1E1A14"/>
                <w:sz w:val="21"/>
                <w:szCs w:val="21"/>
              </w:rPr>
              <w:t xml:space="preserve">Download your AiBI Regulatory Cheatsheet — a one-page reference card that summarizes the five frameworks above with their staff-level implications.</w:t>
            </w:r>
          </w:p>
          <w:p>
            <w:pPr>
              <w:spacing w:after="40"/>
            </w:pPr>
            <w:r>
              <w:rPr>
                <w:rFonts w:ascii="Arial" w:cs="Arial" w:eastAsia="Arial" w:hAnsi="Arial"/>
                <w:color w:val="1E1A14"/>
                <w:sz w:val="21"/>
                <w:szCs w:val="21"/>
              </w:rPr>
              <w:t xml:space="preserve">Answer two questions: (1) Which of these frameworks is most directly relevant to your current role? (2) What is the one thing you would want your manager to know about AI governance at your institution right now?</w:t>
            </w:r>
          </w:p>
          <w:p>
            <w:pPr>
              <w:spacing w:after="40"/>
            </w:pPr>
            <w:r>
              <w:rPr>
                <w:rFonts w:ascii="Arial" w:cs="Arial" w:eastAsia="Arial" w:hAnsi="Arial"/>
                <w:color w:val="1E1A14"/>
                <w:sz w:val="21"/>
                <w:szCs w:val="21"/>
              </w:rPr>
              <w:t xml:space="preserve">These responses are not graded. They are your starting point.</w:t>
            </w:r>
          </w:p>
        </w:tc>
      </w:tr>
    </w:tbl>
    <w:p>
      <w:pPr>
        <w:spacing w:after="160"/>
      </w:pPr>
    </w:p>
    <w:p>
      <w:pPr>
        <w:pStyle w:val="Heading3"/>
      </w:pPr>
      <w:r>
        <w:rPr>
          <w:rFonts w:ascii="Arial" w:cs="Arial" w:eastAsia="Arial" w:hAnsi="Arial"/>
          <w:b/>
          <w:bCs/>
          <w:color w:val="1E1A14"/>
          <w:sz w:val="22"/>
          <w:szCs w:val="22"/>
        </w:rPr>
        <w:t xml:space="preserve">Downloadable Artifact: Regulatory Cheatsheet</w:t>
      </w:r>
    </w:p>
    <w:p>
      <w:pPr>
        <w:spacing w:after="120"/>
      </w:pPr>
      <w:r>
        <w:rPr>
          <w:rFonts w:ascii="Arial" w:cs="Arial" w:eastAsia="Arial" w:hAnsi="Arial"/>
          <w:i w:val="false"/>
          <w:iCs w:val="false"/>
          <w:color w:val="6B6355"/>
          <w:sz w:val="22"/>
          <w:szCs w:val="22"/>
        </w:rPr>
        <w:t xml:space="preserve">One-page PDF. Front: the five frameworks, their definitions, and staff-level implications. Back: the AIEOG-defined vocabulary every banker needs to know. Updated as new guidance is issued. Date-stamped on every version.</w:t>
      </w:r>
    </w:p>
    <w:p>
      <w:pPr>
        <w:spacing w:after="80"/>
      </w:pPr>
    </w:p>
    <w:p>
      <w:pPr>
        <w:pStyle w:val="Heading3"/>
      </w:pPr>
      <w:r>
        <w:rPr>
          <w:rFonts w:ascii="Arial" w:cs="Arial" w:eastAsia="Arial" w:hAnsi="Arial"/>
          <w:b/>
          <w:bCs/>
          <w:color w:val="1E1A14"/>
          <w:sz w:val="22"/>
          <w:szCs w:val="22"/>
        </w:rPr>
        <w:t xml:space="preserve">Platform Behavior</w:t>
      </w:r>
    </w:p>
    <w:p>
      <w:pPr>
        <w:pStyle w:val="ListParagraph"/>
        <w:numPr>
          <w:ilvl w:val="0"/>
          <w:numId w:val="2"/>
        </w:numPr>
        <w:spacing w:after="80"/>
      </w:pPr>
      <w:r>
        <w:rPr>
          <w:rFonts w:ascii="Arial" w:cs="Arial" w:eastAsia="Arial" w:hAnsi="Arial"/>
          <w:color w:val="6B6355"/>
          <w:sz w:val="22"/>
          <w:szCs w:val="22"/>
        </w:rPr>
        <w:t xml:space="preserve">Regulatory cheatsheet download triggered after Activity 1.1 submission</w:t>
      </w:r>
    </w:p>
    <w:p>
      <w:pPr>
        <w:pStyle w:val="ListParagraph"/>
        <w:numPr>
          <w:ilvl w:val="0"/>
          <w:numId w:val="2"/>
        </w:numPr>
        <w:spacing w:after="80"/>
      </w:pPr>
      <w:r>
        <w:rPr>
          <w:rFonts w:ascii="Arial" w:cs="Arial" w:eastAsia="Arial" w:hAnsi="Arial"/>
          <w:color w:val="6B6355"/>
          <w:sz w:val="22"/>
          <w:szCs w:val="22"/>
        </w:rPr>
        <w:t xml:space="preserve">Free-text response fields, minimum 20 characters each, completion required to advance</w:t>
      </w:r>
    </w:p>
    <w:p>
      <w:pPr>
        <w:pStyle w:val="ListParagraph"/>
        <w:numPr>
          <w:ilvl w:val="0"/>
          <w:numId w:val="2"/>
        </w:numPr>
        <w:spacing w:after="80"/>
      </w:pPr>
      <w:r>
        <w:rPr>
          <w:rFonts w:ascii="Arial" w:cs="Arial" w:eastAsia="Arial" w:hAnsi="Arial"/>
          <w:color w:val="6B6355"/>
          <w:sz w:val="22"/>
          <w:szCs w:val="22"/>
        </w:rPr>
        <w:t xml:space="preserve">Module does not advance until activity is submitted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4A6741" w:val="clear"/>
            <w:tcMar>
              <w:top w:type="dxa" w:w="140"/>
              <w:left w:type="dxa" w:w="140"/>
              <w:bottom w:type="dxa" w:w="140"/>
              <w:right w:type="dxa" w:w="140"/>
            </w:tcMar>
            <w:vAlign w:val="center"/>
          </w:tcPr>
          <w:p>
            <w:pPr>
              <w:jc w:val="center"/>
            </w:pPr>
            <w:r>
              <w:rPr>
                <w:rFonts w:ascii="Arial" w:cs="Arial" w:eastAsia="Arial" w:hAnsi="Arial"/>
                <w:b/>
                <w:bCs/>
                <w:color w:val="FFFFFF"/>
                <w:sz w:val="36"/>
                <w:szCs w:val="36"/>
              </w:rPr>
              <w:t xml:space="preserve">M2</w:t>
            </w:r>
          </w:p>
          <w:p>
            <w:pPr>
              <w:jc w:val="center"/>
            </w:pPr>
            <w:r>
              <w:rPr>
                <w:rFonts w:ascii="Arial" w:cs="Arial" w:eastAsia="Arial" w:hAnsi="Arial"/>
                <w:i/>
                <w:iCs/>
                <w:color w:val="FFFFFF"/>
                <w:sz w:val="14"/>
                <w:szCs w:val="14"/>
              </w:rPr>
              <w:t xml:space="preserve">Awareness</w:t>
            </w:r>
          </w:p>
          <w:p>
            <w:pPr>
              <w:jc w:val="center"/>
            </w:pPr>
            <w:r>
              <w:rPr>
                <w:rFonts w:ascii="Arial" w:cs="Arial" w:eastAsia="Arial" w:hAnsi="Arial"/>
                <w:color w:val="FFFFFF"/>
                <w:sz w:val="14"/>
                <w:szCs w:val="14"/>
              </w:rPr>
              <w:t xml:space="preserve">~20 min</w:t>
            </w:r>
          </w:p>
        </w:tc>
        <w:tc>
          <w:tcPr>
            <w:tcW w:type="dxa" w:w="8260"/>
            <w:tcBorders>
              <w:top w:val="none" w:color="FFFFFF" w:sz="0"/>
              <w:left w:val="none" w:color="FFFFFF" w:sz="0"/>
              <w:bottom w:val="none" w:color="FFFFFF" w:sz="0"/>
              <w:right w:val="none" w:color="FFFFFF" w:sz="0"/>
            </w:tcBorders>
            <w:shd w:fill="EDE6D8" w:val="clear"/>
            <w:tcMar>
              <w:top w:type="dxa" w:w="140"/>
              <w:left w:type="dxa" w:w="180"/>
              <w:bottom w:type="dxa" w:w="140"/>
              <w:right w:type="dxa" w:w="140"/>
            </w:tcMar>
          </w:tcPr>
          <w:p>
            <w:pPr>
              <w:spacing w:after="50"/>
            </w:pPr>
            <w:r>
              <w:rPr>
                <w:rFonts w:ascii="Arial" w:cs="Arial" w:eastAsia="Arial" w:hAnsi="Arial"/>
                <w:b/>
                <w:bCs/>
                <w:color w:val="1E1A14"/>
                <w:sz w:val="28"/>
                <w:szCs w:val="28"/>
              </w:rPr>
              <w:t xml:space="preserve">The Tools Landscape + Onboarding Branch</w:t>
            </w:r>
          </w:p>
          <w:p>
            <w:pPr>
              <w:spacing w:after="0"/>
            </w:pPr>
            <w:r>
              <w:rPr>
                <w:rFonts w:ascii="Arial" w:cs="Arial" w:eastAsia="Arial" w:hAnsi="Arial"/>
                <w:i/>
                <w:iCs/>
                <w:color w:val="6B6355"/>
                <w:sz w:val="21"/>
                <w:szCs w:val="21"/>
              </w:rPr>
              <w:t xml:space="preserve">Learning goal: The learner has a complete picture of what AI tools exist, which ones they already have access to, and what each one is used for.</w:t>
            </w:r>
          </w:p>
        </w:tc>
      </w:tr>
    </w:tbl>
    <w:p>
      <w:pPr>
        <w:spacing w:after="80"/>
      </w:pPr>
    </w:p>
    <w:p>
      <w:pPr>
        <w:pStyle w:val="Heading3"/>
      </w:pPr>
      <w:r>
        <w:rPr>
          <w:rFonts w:ascii="Arial" w:cs="Arial" w:eastAsia="Arial" w:hAnsi="Arial"/>
          <w:b/>
          <w:bCs/>
          <w:color w:val="1E1A14"/>
          <w:sz w:val="22"/>
          <w:szCs w:val="22"/>
        </w:rPr>
        <w:t xml:space="preserve">Content Specification</w:t>
      </w:r>
    </w:p>
    <w:p>
      <w:pPr>
        <w:spacing w:after="120"/>
      </w:pPr>
      <w:r>
        <w:rPr>
          <w:rFonts w:ascii="Arial" w:cs="Arial" w:eastAsia="Arial" w:hAnsi="Arial"/>
          <w:b/>
          <w:bCs/>
          <w:color w:val="1E1A14"/>
          <w:sz w:val="22"/>
          <w:szCs w:val="22"/>
        </w:rPr>
        <w:t xml:space="preserve">The complete tools landscape</w:t>
      </w:r>
    </w:p>
    <w:p>
      <w:pPr>
        <w:spacing w:after="120"/>
      </w:pPr>
      <w:r>
        <w:rPr>
          <w:rFonts w:ascii="Arial" w:cs="Arial" w:eastAsia="Arial" w:hAnsi="Arial"/>
          <w:i w:val="false"/>
          <w:iCs w:val="false"/>
          <w:color w:val="6B6355"/>
          <w:sz w:val="22"/>
          <w:szCs w:val="22"/>
        </w:rPr>
        <w:t xml:space="preserve">This module covers every major platform a community banker might encounter — not just the three that get the most press. The goal is awareness, not mastery. A marketing person may get far more value from NotebookLM than from ChatGPT. A compliance officer may find Perplexity the most useful for regulatory research. We do not pick favorites. We give them the full map.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400"/>
        <w:gridCol w:w="1360"/>
        <w:gridCol w:w="2600"/>
      </w:tblGrid>
      <w:tr>
        <w:trPr>
          <w:tblHeader/>
        </w:trPr>
        <w:tc>
          <w:tcPr>
            <w:tcW w:type="dxa" w:w="18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Platform</w:t>
            </w:r>
          </w:p>
        </w:tc>
        <w:tc>
          <w:tcPr>
            <w:tcW w:type="dxa" w:w="12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Type</w:t>
            </w:r>
          </w:p>
        </w:tc>
        <w:tc>
          <w:tcPr>
            <w:tcW w:type="dxa" w:w="24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Primary Strength</w:t>
            </w:r>
          </w:p>
        </w:tc>
        <w:tc>
          <w:tcPr>
            <w:tcW w:type="dxa" w:w="136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Free Tier?</w:t>
            </w:r>
          </w:p>
        </w:tc>
        <w:tc>
          <w:tcPr>
            <w:tcW w:type="dxa" w:w="26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Paid Tier</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ChatGPT (OpenAI)</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Generative AI</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Versatile generation, long context, GPT-4o. The one most people have heard of.</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Yes — GPT-4o with limits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$20/mo Plus. Team/Enterprise available.</w:t>
            </w:r>
          </w:p>
        </w:tc>
      </w:tr>
      <w:tr>
        <w:tc>
          <w:tcPr>
            <w:tcW w:type="dxa" w:w="18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Claude (Anthropic)</w:t>
            </w:r>
          </w:p>
        </w:tc>
        <w:tc>
          <w:tcPr>
            <w:tcW w:type="dxa" w:w="12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Generative AI</w:t>
            </w:r>
          </w:p>
        </w:tc>
        <w:tc>
          <w:tcPr>
            <w:tcW w:type="dxa" w:w="24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Exceptionally good at long documents, analysis, nuanced writing. Strong safety features.</w:t>
            </w:r>
          </w:p>
        </w:tc>
        <w:tc>
          <w:tcPr>
            <w:tcW w:type="dxa" w:w="13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Yes — Claude 3.5 Sonnet with limits</w:t>
            </w:r>
          </w:p>
        </w:tc>
        <w:tc>
          <w:tcPr>
            <w:tcW w:type="dxa" w:w="26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$20/mo Pro. Enterprise available.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Microsoft Copilot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Generative AI</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Deeply integrated into M365 apps (Word, Excel, Teams, Outlook). Likely already licensed.</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Copilot.microsoft.com free</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Included in many M365 plans. Copilot 365 is add-on.</w:t>
            </w:r>
          </w:p>
        </w:tc>
      </w:tr>
      <w:tr>
        <w:tc>
          <w:tcPr>
            <w:tcW w:type="dxa" w:w="18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Google Gemini</w:t>
            </w:r>
          </w:p>
        </w:tc>
        <w:tc>
          <w:tcPr>
            <w:tcW w:type="dxa" w:w="12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Generative AI</w:t>
            </w:r>
          </w:p>
        </w:tc>
        <w:tc>
          <w:tcPr>
            <w:tcW w:type="dxa" w:w="24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Integrated with Google Workspace. Strong multimodal (text, image, video).</w:t>
            </w:r>
          </w:p>
        </w:tc>
        <w:tc>
          <w:tcPr>
            <w:tcW w:type="dxa" w:w="13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Yes — Gemini 1.5 Flash</w:t>
            </w:r>
          </w:p>
        </w:tc>
        <w:tc>
          <w:tcPr>
            <w:tcW w:type="dxa" w:w="26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$20/mo Advanced. Workspace add-on available.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NotebookLM (Google)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Research + analysis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Upload documents and ask questions about them. Excellent for policy research, report analysis, long-form document work.</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Yes — free</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NotebookLM Plus in Workspace</w:t>
            </w:r>
          </w:p>
        </w:tc>
      </w:tr>
      <w:tr>
        <w:tc>
          <w:tcPr>
            <w:tcW w:type="dxa" w:w="18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Perplexity</w:t>
            </w:r>
          </w:p>
        </w:tc>
        <w:tc>
          <w:tcPr>
            <w:tcW w:type="dxa" w:w="12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Search + synthesis</w:t>
            </w:r>
          </w:p>
        </w:tc>
        <w:tc>
          <w:tcPr>
            <w:tcW w:type="dxa" w:w="24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Real-time web search with citations. Best tool for current regulatory research — answers cite sources.</w:t>
            </w:r>
          </w:p>
        </w:tc>
        <w:tc>
          <w:tcPr>
            <w:tcW w:type="dxa" w:w="13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Yes — limited searches</w:t>
            </w:r>
          </w:p>
        </w:tc>
        <w:tc>
          <w:tcPr>
            <w:tcW w:type="dxa" w:w="26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$20/mo Pro. Best for research-heavy roles.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Microsoft Copilot in M365 apps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Integrated AI</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AI inside Word, Excel, Teams, Outlook, PowerPoint. Summarize, draft, analyze from inside the apps you already use.</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No — requires M365 Copilot license</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Add-on to M365 Business plans</w:t>
            </w:r>
          </w:p>
        </w:tc>
      </w:tr>
    </w:tbl>
    <w:p>
      <w:pPr>
        <w:spacing w:after="80"/>
      </w:pPr>
    </w:p>
    <w:p>
      <w:pPr>
        <w:spacing w:after="120"/>
      </w:pPr>
      <w:r>
        <w:rPr>
          <w:rFonts w:ascii="Arial" w:cs="Arial" w:eastAsia="Arial" w:hAnsi="Arial"/>
          <w:b/>
          <w:bCs/>
          <w:color w:val="1E1A14"/>
          <w:sz w:val="22"/>
          <w:szCs w:val="22"/>
        </w:rPr>
        <w:t xml:space="preserve">Tools that exist but are out of scope for this course</w:t>
      </w:r>
    </w:p>
    <w:p>
      <w:pPr>
        <w:spacing w:after="120"/>
      </w:pPr>
      <w:r>
        <w:rPr>
          <w:rFonts w:ascii="Arial" w:cs="Arial" w:eastAsia="Arial" w:hAnsi="Arial"/>
          <w:i w:val="false"/>
          <w:iCs w:val="false"/>
          <w:color w:val="6B6355"/>
          <w:sz w:val="22"/>
          <w:szCs w:val="22"/>
        </w:rPr>
        <w:t xml:space="preserve">There are powerful tools — Replit, Lovable, Bolt.new, Claude Code — that allow non-developers to build actual software applications. These are genuinely exciting and some community bank staff will eventually use them. They are not in scope for AiBI-P, which focuses on tools that require no setup or technical configuration. They will be covered in AiBI-S for appropriate roles.</w:t>
      </w:r>
    </w:p>
    <w:p>
      <w:pPr>
        <w:spacing w:after="160"/>
      </w:pPr>
    </w:p>
    <w:p>
      <w:pPr>
        <w:spacing w:after="120"/>
      </w:pPr>
      <w:r>
        <w:rPr>
          <w:rFonts w:ascii="Arial" w:cs="Arial" w:eastAsia="Arial" w:hAnsi="Arial"/>
          <w:b/>
          <w:bCs/>
          <w:color w:val="1E1A14"/>
          <w:sz w:val="22"/>
          <w:szCs w:val="22"/>
        </w:rPr>
        <w:t xml:space="preserve">The onboarding branch — platform routing</w:t>
      </w:r>
    </w:p>
    <w:p>
      <w:pPr>
        <w:spacing w:after="120"/>
      </w:pPr>
      <w:r>
        <w:rPr>
          <w:rFonts w:ascii="Arial" w:cs="Arial" w:eastAsia="Arial" w:hAnsi="Arial"/>
          <w:i w:val="false"/>
          <w:iCs w:val="false"/>
          <w:color w:val="6B6355"/>
          <w:sz w:val="22"/>
          <w:szCs w:val="22"/>
        </w:rPr>
        <w:t xml:space="preserve">Based on the learner’s onboarding answers, Module 2 surfaces the most relevant platform content first. A learner who answered “Yes, we use M365” sees Copilot activation content prominently. A learner who answered “I have ChatGPT Plus” sees the ChatGPT content first. All platforms are covered regardless of branch — the branch determines sequencing and emphasis, not what is included.</w:t>
      </w:r>
    </w:p>
    <w:p>
      <w:pPr>
        <w:spacing w:after="160"/>
      </w:pPr>
    </w:p>
    <w:p>
      <w:pPr>
        <w:pStyle w:val="Heading3"/>
      </w:pPr>
      <w:r>
        <w:rPr>
          <w:rFonts w:ascii="Arial" w:cs="Arial" w:eastAsia="Arial" w:hAnsi="Arial"/>
          <w:b/>
          <w:bCs/>
          <w:color w:val="1E1A14"/>
          <w:sz w:val="22"/>
          <w:szCs w:val="22"/>
        </w:rPr>
        <w:t xml:space="preserve">Activity 2.1 — Your Subscription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6"/>
              <w:left w:val="single" w:color="B8860B" w:sz="6"/>
              <w:bottom w:val="single" w:color="B8860B" w:sz="1"/>
              <w:right w:val="single" w:color="B8860B" w:sz="1"/>
            </w:tcBorders>
            <w:shd w:fill="FFF3CD" w:val="clear"/>
            <w:tcMar>
              <w:top w:type="dxa" w:w="120"/>
              <w:left w:type="dxa" w:w="160"/>
              <w:bottom w:type="dxa" w:w="120"/>
              <w:right w:type="dxa" w:w="160"/>
            </w:tcMar>
          </w:tcPr>
          <w:p>
            <w:pPr>
              <w:spacing w:after="60"/>
            </w:pPr>
            <w:r>
              <w:rPr>
                <w:rFonts w:ascii="Arial" w:cs="Arial" w:eastAsia="Arial" w:hAnsi="Arial"/>
                <w:b/>
                <w:bCs/>
                <w:color w:val="B8860B"/>
                <w:sz w:val="18"/>
                <w:szCs w:val="18"/>
              </w:rPr>
              <w:t xml:space="preserve">ACTIVITY 2.1</w:t>
            </w:r>
          </w:p>
          <w:p>
            <w:pPr>
              <w:spacing w:after="40"/>
            </w:pPr>
            <w:r>
              <w:rPr>
                <w:rFonts w:ascii="Arial" w:cs="Arial" w:eastAsia="Arial" w:hAnsi="Arial"/>
                <w:color w:val="1E1A14"/>
                <w:sz w:val="21"/>
                <w:szCs w:val="21"/>
              </w:rPr>
              <w:t xml:space="preserve">Complete your personal AI subscription inventory. This takes two minutes and it will route the rest of the course to what is most relevant to you.</w:t>
            </w:r>
          </w:p>
          <w:p>
            <w:pPr>
              <w:spacing w:after="40"/>
            </w:pPr>
            <w:r>
              <w:rPr>
                <w:rFonts w:ascii="Arial" w:cs="Arial" w:eastAsia="Arial" w:hAnsi="Arial"/>
                <w:color w:val="1E1A14"/>
                <w:sz w:val="21"/>
                <w:szCs w:val="21"/>
              </w:rPr>
              <w:t xml:space="preserve">For each platform listed above: Do you have access? (Yes / No / Not sure). If yes: Free tier or paid? Personal or institution-licensed?</w:t>
            </w:r>
          </w:p>
          <w:p>
            <w:pPr>
              <w:spacing w:after="40"/>
            </w:pPr>
            <w:r>
              <w:rPr>
                <w:rFonts w:ascii="Arial" w:cs="Arial" w:eastAsia="Arial" w:hAnsi="Arial"/>
                <w:color w:val="1E1A14"/>
                <w:sz w:val="21"/>
                <w:szCs w:val="21"/>
              </w:rPr>
              <w:t xml:space="preserve">If you answered “Not sure” for Microsoft Copilot: here is the one-sentence ask for your IT department: “Do we have Microsoft 365 Copilot licenses enabled for our team? If not, do we have M365 Business Standard or above?” That question will get you a yes or no in one email.</w:t>
            </w:r>
          </w:p>
        </w:tc>
      </w:tr>
    </w:tbl>
    <w:p>
      <w:pPr>
        <w:spacing w:after="160"/>
      </w:pPr>
    </w:p>
    <w:p>
      <w:pPr>
        <w:pStyle w:val="Heading3"/>
      </w:pPr>
      <w:r>
        <w:rPr>
          <w:rFonts w:ascii="Arial" w:cs="Arial" w:eastAsia="Arial" w:hAnsi="Arial"/>
          <w:b/>
          <w:bCs/>
          <w:color w:val="1E1A14"/>
          <w:sz w:val="22"/>
          <w:szCs w:val="22"/>
        </w:rPr>
        <w:t xml:space="preserve">Platform Behavior</w:t>
      </w:r>
    </w:p>
    <w:p>
      <w:pPr>
        <w:pStyle w:val="ListParagraph"/>
        <w:numPr>
          <w:ilvl w:val="0"/>
          <w:numId w:val="2"/>
        </w:numPr>
        <w:spacing w:after="80"/>
      </w:pPr>
      <w:r>
        <w:rPr>
          <w:rFonts w:ascii="Arial" w:cs="Arial" w:eastAsia="Arial" w:hAnsi="Arial"/>
          <w:color w:val="6B6355"/>
          <w:sz w:val="22"/>
          <w:szCs w:val="22"/>
        </w:rPr>
        <w:t xml:space="preserve">Subscription inventory is a form with one row per platform, three-option radio buttons: Have access / No access / Not sure</w:t>
      </w:r>
    </w:p>
    <w:p>
      <w:pPr>
        <w:pStyle w:val="ListParagraph"/>
        <w:numPr>
          <w:ilvl w:val="0"/>
          <w:numId w:val="2"/>
        </w:numPr>
        <w:spacing w:after="80"/>
      </w:pPr>
      <w:r>
        <w:rPr>
          <w:rFonts w:ascii="Arial" w:cs="Arial" w:eastAsia="Arial" w:hAnsi="Arial"/>
          <w:color w:val="6B6355"/>
          <w:sz w:val="22"/>
          <w:szCs w:val="22"/>
        </w:rPr>
        <w:t xml:space="preserve">On submission, course routes subsequent platform content based on responses</w:t>
      </w:r>
    </w:p>
    <w:p>
      <w:pPr>
        <w:pStyle w:val="ListParagraph"/>
        <w:numPr>
          <w:ilvl w:val="0"/>
          <w:numId w:val="2"/>
        </w:numPr>
        <w:spacing w:after="80"/>
      </w:pPr>
      <w:r>
        <w:rPr>
          <w:rFonts w:ascii="Arial" w:cs="Arial" w:eastAsia="Arial" w:hAnsi="Arial"/>
          <w:color w:val="6B6355"/>
          <w:sz w:val="22"/>
          <w:szCs w:val="22"/>
        </w:rPr>
        <w:t xml:space="preserve">Module advances after inventory submission</w:t>
      </w:r>
    </w:p>
    <w:p>
      <w:pPr>
        <w:pStyle w:val="ListParagraph"/>
        <w:numPr>
          <w:ilvl w:val="0"/>
          <w:numId w:val="2"/>
        </w:numPr>
        <w:spacing w:after="80"/>
      </w:pPr>
      <w:r>
        <w:rPr>
          <w:rFonts w:ascii="Arial" w:cs="Arial" w:eastAsia="Arial" w:hAnsi="Arial"/>
          <w:color w:val="6B6355"/>
          <w:sz w:val="22"/>
          <w:szCs w:val="22"/>
        </w:rPr>
        <w:t xml:space="preserve">Learner can update their inventory at any time from their profile settings</w:t>
      </w:r>
    </w:p>
    <w:p>
      <w:pPr>
        <w:spacing w:after="160"/>
      </w:pPr>
    </w:p>
    <w:p>
      <w:r>
        <w:br w:type="page"/>
      </w:r>
    </w:p>
    <w:p>
      <w:pPr>
        <w:pStyle w:val="Heading1"/>
      </w:pPr>
      <w:r>
        <w:rPr>
          <w:rFonts w:ascii="Arial" w:cs="Arial" w:eastAsia="Arial" w:hAnsi="Arial"/>
          <w:b/>
          <w:bCs/>
          <w:color w:val="1E1A14"/>
          <w:sz w:val="32"/>
          <w:szCs w:val="32"/>
        </w:rPr>
        <w:t xml:space="preserve">5. Pillar II — Understanding</w:t>
      </w:r>
    </w:p>
    <w:p>
      <w:pPr>
        <w:spacing w:after="120"/>
      </w:pPr>
      <w:r>
        <w:rPr>
          <w:rFonts w:ascii="Arial" w:cs="Arial" w:eastAsia="Arial" w:hAnsi="Arial"/>
          <w:i/>
          <w:iCs/>
          <w:color w:val="6B6355"/>
          <w:sz w:val="22"/>
          <w:szCs w:val="22"/>
        </w:rPr>
        <w:t xml:space="preserve">Three modules. The learner leaves knowing what they already have activated, what the platforms can actually do, and where the failure modes are.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2D4A7A" w:val="clear"/>
            <w:tcMar>
              <w:top w:type="dxa" w:w="140"/>
              <w:left w:type="dxa" w:w="140"/>
              <w:bottom w:type="dxa" w:w="140"/>
              <w:right w:type="dxa" w:w="140"/>
            </w:tcMar>
            <w:vAlign w:val="center"/>
          </w:tcPr>
          <w:p>
            <w:pPr>
              <w:jc w:val="center"/>
            </w:pPr>
            <w:r>
              <w:rPr>
                <w:rFonts w:ascii="Arial" w:cs="Arial" w:eastAsia="Arial" w:hAnsi="Arial"/>
                <w:b/>
                <w:bCs/>
                <w:color w:val="FFFFFF"/>
                <w:sz w:val="36"/>
                <w:szCs w:val="36"/>
              </w:rPr>
              <w:t xml:space="preserve">M3</w:t>
            </w:r>
          </w:p>
          <w:p>
            <w:pPr>
              <w:jc w:val="center"/>
            </w:pPr>
            <w:r>
              <w:rPr>
                <w:rFonts w:ascii="Arial" w:cs="Arial" w:eastAsia="Arial" w:hAnsi="Arial"/>
                <w:i/>
                <w:iCs/>
                <w:color w:val="FFFFFF"/>
                <w:sz w:val="14"/>
                <w:szCs w:val="14"/>
              </w:rPr>
              <w:t xml:space="preserve">Understanding</w:t>
            </w:r>
          </w:p>
          <w:p>
            <w:pPr>
              <w:jc w:val="center"/>
            </w:pPr>
            <w:r>
              <w:rPr>
                <w:rFonts w:ascii="Arial" w:cs="Arial" w:eastAsia="Arial" w:hAnsi="Arial"/>
                <w:color w:val="FFFFFF"/>
                <w:sz w:val="14"/>
                <w:szCs w:val="14"/>
              </w:rPr>
              <w:t xml:space="preserve">~25 min</w:t>
            </w:r>
          </w:p>
        </w:tc>
        <w:tc>
          <w:tcPr>
            <w:tcW w:type="dxa" w:w="8260"/>
            <w:tcBorders>
              <w:top w:val="none" w:color="FFFFFF" w:sz="0"/>
              <w:left w:val="none" w:color="FFFFFF" w:sz="0"/>
              <w:bottom w:val="none" w:color="FFFFFF" w:sz="0"/>
              <w:right w:val="none" w:color="FFFFFF" w:sz="0"/>
            </w:tcBorders>
            <w:shd w:fill="EDE6D8" w:val="clear"/>
            <w:tcMar>
              <w:top w:type="dxa" w:w="140"/>
              <w:left w:type="dxa" w:w="180"/>
              <w:bottom w:type="dxa" w:w="140"/>
              <w:right w:type="dxa" w:w="140"/>
            </w:tcMar>
          </w:tcPr>
          <w:p>
            <w:pPr>
              <w:spacing w:after="50"/>
            </w:pPr>
            <w:r>
              <w:rPr>
                <w:rFonts w:ascii="Arial" w:cs="Arial" w:eastAsia="Arial" w:hAnsi="Arial"/>
                <w:b/>
                <w:bCs/>
                <w:color w:val="1E1A14"/>
                <w:sz w:val="28"/>
                <w:szCs w:val="28"/>
              </w:rPr>
              <w:t xml:space="preserve">What You Already Have + Activation</w:t>
            </w:r>
          </w:p>
          <w:p>
            <w:pPr>
              <w:spacing w:after="0"/>
            </w:pPr>
            <w:r>
              <w:rPr>
                <w:rFonts w:ascii="Arial" w:cs="Arial" w:eastAsia="Arial" w:hAnsi="Arial"/>
                <w:i/>
                <w:iCs/>
                <w:color w:val="6B6355"/>
                <w:sz w:val="21"/>
                <w:szCs w:val="21"/>
              </w:rPr>
              <w:t xml:space="preserve">Learning goal: The learner has activated at least one AI tool they already have access to, understands the difference between free and paid tiers, and knows what data protections apply to each.</w:t>
            </w:r>
          </w:p>
        </w:tc>
      </w:tr>
    </w:tbl>
    <w:p>
      <w:pPr>
        <w:spacing w:after="80"/>
      </w:pPr>
    </w:p>
    <w:p>
      <w:pPr>
        <w:pStyle w:val="Heading3"/>
      </w:pPr>
      <w:r>
        <w:rPr>
          <w:rFonts w:ascii="Arial" w:cs="Arial" w:eastAsia="Arial" w:hAnsi="Arial"/>
          <w:b/>
          <w:bCs/>
          <w:color w:val="1E1A14"/>
          <w:sz w:val="22"/>
          <w:szCs w:val="22"/>
        </w:rPr>
        <w:t xml:space="preserve">Content Specification</w:t>
      </w:r>
    </w:p>
    <w:p>
      <w:pPr>
        <w:spacing w:after="120"/>
      </w:pPr>
      <w:r>
        <w:rPr>
          <w:rFonts w:ascii="Arial" w:cs="Arial" w:eastAsia="Arial" w:hAnsi="Arial"/>
          <w:b/>
          <w:bCs/>
          <w:color w:val="1E1A14"/>
          <w:sz w:val="22"/>
          <w:szCs w:val="22"/>
        </w:rPr>
        <w:t xml:space="preserve">The M365 Copilot activation path (shown to learners who answered Yes to M365)</w:t>
      </w:r>
    </w:p>
    <w:p>
      <w:pPr>
        <w:spacing w:after="120"/>
      </w:pPr>
      <w:r>
        <w:rPr>
          <w:rFonts w:ascii="Arial" w:cs="Arial" w:eastAsia="Arial" w:hAnsi="Arial"/>
          <w:i w:val="false"/>
          <w:iCs w:val="false"/>
          <w:color w:val="6B6355"/>
          <w:sz w:val="22"/>
          <w:szCs w:val="22"/>
        </w:rPr>
        <w:t xml:space="preserve">Most community banks have Microsoft 365. Many have Copilot capabilities they have not enabled or do not know about. This is the fastest path to value for the most learners.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M365 Plan</w:t>
            </w:r>
          </w:p>
        </w:tc>
        <w:tc>
          <w:tcPr>
            <w:tcW w:type="dxa" w:w="30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Copilot Availability</w:t>
            </w:r>
          </w:p>
        </w:tc>
        <w:tc>
          <w:tcPr>
            <w:tcW w:type="dxa" w:w="356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What to Do</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M365 Business Basic</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No Copilot included</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Copilot.microsoft.com available free (limited). Ask IT about upgrading.</w:t>
            </w:r>
          </w:p>
        </w:tc>
      </w:tr>
      <w:tr>
        <w:tc>
          <w:tcPr>
            <w:tcW w:type="dxa" w:w="28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M365 Business Standard / Premium</w:t>
            </w:r>
          </w:p>
        </w:tc>
        <w:tc>
          <w:tcPr>
            <w:tcW w:type="dxa" w:w="30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Copilot available in some apps</w:t>
            </w:r>
          </w:p>
        </w:tc>
        <w:tc>
          <w:tcPr>
            <w:tcW w:type="dxa" w:w="35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Check with IT whether Copilot is enabled for your account. If yes, look for the Copilot icon in Word, Outlook, and Teams.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M365 with Copilot 365 add-on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Full Copilot in all apps</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Copilot in Word, Excel, Teams, Outlook, PowerPoint, OneNote. AI is already in every app you use every day.</w:t>
            </w:r>
          </w:p>
        </w:tc>
      </w:tr>
    </w:tbl>
    <w:p>
      <w:pPr>
        <w:spacing w:after="80"/>
      </w:pPr>
    </w:p>
    <w:p>
      <w:pPr>
        <w:spacing w:after="120"/>
      </w:pPr>
      <w:r>
        <w:rPr>
          <w:rFonts w:ascii="Arial" w:cs="Arial" w:eastAsia="Arial" w:hAnsi="Arial"/>
          <w:i w:val="false"/>
          <w:iCs w:val="false"/>
          <w:color w:val="6B6355"/>
          <w:sz w:val="22"/>
          <w:szCs w:val="22"/>
        </w:rPr>
        <w:t xml:space="preserve">Data protection note: If your institution is on a qualifying M365 plan, your Copilot prompts and responses are covered by your existing Microsoft data processing agreement. They are not used to train the model. This is a contractual protection, not a technical one — your IT or compliance team should confirm your plan tier.</w:t>
      </w:r>
    </w:p>
    <w:p>
      <w:pPr>
        <w:spacing w:after="160"/>
      </w:pPr>
    </w:p>
    <w:p>
      <w:pPr>
        <w:spacing w:after="120"/>
      </w:pPr>
      <w:r>
        <w:rPr>
          <w:rFonts w:ascii="Arial" w:cs="Arial" w:eastAsia="Arial" w:hAnsi="Arial"/>
          <w:b/>
          <w:bCs/>
          <w:color w:val="1E1A14"/>
          <w:sz w:val="22"/>
          <w:szCs w:val="22"/>
        </w:rPr>
        <w:t xml:space="preserve">Free vs. paid — what actually changes</w:t>
      </w:r>
    </w:p>
    <w:p>
      <w:pPr>
        <w:spacing w:after="120"/>
      </w:pPr>
      <w:r>
        <w:rPr>
          <w:rFonts w:ascii="Arial" w:cs="Arial" w:eastAsia="Arial" w:hAnsi="Arial"/>
          <w:i w:val="false"/>
          <w:iCs w:val="false"/>
          <w:color w:val="6B6355"/>
          <w:sz w:val="22"/>
          <w:szCs w:val="22"/>
        </w:rPr>
        <w:t xml:space="preserve">The learner does not need to understand the business model of AI companies. They need to know one practical thing: what changes when you pay.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What Changes on a Paid Tier</w:t>
            </w:r>
          </w:p>
        </w:tc>
        <w:tc>
          <w:tcPr>
            <w:tcW w:type="dxa" w:w="616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Why It Matters for a Banker</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Rate limits removed or increased</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On the free tier, heavy use causes slowdowns or pauses. A paid tier means consistent availability during work hours.</w:t>
            </w:r>
          </w:p>
        </w:tc>
      </w:tr>
      <w:tr>
        <w:tc>
          <w:tcPr>
            <w:tcW w:type="dxa" w:w="32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Access to more capable models</w:t>
            </w:r>
          </w:p>
        </w:tc>
        <w:tc>
          <w:tcPr>
            <w:tcW w:type="dxa" w:w="61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Paid tiers often include the newest, most capable model. For complex banking analysis tasks, this matters.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Larger context window</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More text can be processed at once. A paid Claude Pro can handle a 200-page document. A free tier cannot.</w:t>
            </w:r>
          </w:p>
        </w:tc>
      </w:tr>
      <w:tr>
        <w:tc>
          <w:tcPr>
            <w:tcW w:type="dxa" w:w="32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Data protections</w:t>
            </w:r>
          </w:p>
        </w:tc>
        <w:tc>
          <w:tcPr>
            <w:tcW w:type="dxa" w:w="61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Enterprise/Team tiers include contractual protections. Personal free tiers typically do not.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Custom instructions / skills persist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On paid tiers, saved skills and custom instructions persist across sessions. On free tiers, this is often limited.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6"/>
              <w:left w:val="single" w:color="B8860B" w:sz="6"/>
              <w:bottom w:val="single" w:color="B8860B" w:sz="1"/>
              <w:right w:val="single" w:color="B8860B" w:sz="1"/>
            </w:tcBorders>
            <w:shd w:fill="FFF3CD" w:val="clear"/>
            <w:tcMar>
              <w:top w:type="dxa" w:w="120"/>
              <w:left w:type="dxa" w:w="160"/>
              <w:bottom w:type="dxa" w:w="120"/>
              <w:right w:type="dxa" w:w="160"/>
            </w:tcMar>
          </w:tcPr>
          <w:p>
            <w:pPr>
              <w:spacing w:after="60"/>
            </w:pPr>
            <w:r>
              <w:rPr>
                <w:rFonts w:ascii="Arial" w:cs="Arial" w:eastAsia="Arial" w:hAnsi="Arial"/>
                <w:b/>
                <w:bCs/>
                <w:color w:val="B8860B"/>
                <w:sz w:val="18"/>
                <w:szCs w:val="18"/>
              </w:rPr>
              <w:t xml:space="preserve">WHAT STAFF SHOULD KNOW ABOUT INSTITUTIONAL LICENSING</w:t>
            </w:r>
          </w:p>
          <w:p>
            <w:pPr>
              <w:spacing w:after="40"/>
            </w:pPr>
            <w:r>
              <w:rPr>
                <w:rFonts w:ascii="Arial" w:cs="Arial" w:eastAsia="Arial" w:hAnsi="Arial"/>
                <w:color w:val="1E1A14"/>
                <w:sz w:val="21"/>
                <w:szCs w:val="21"/>
              </w:rPr>
              <w:t xml:space="preserve">The institution’s IT or compliance team is responsible for determining which tools are approved for institutional use.</w:t>
            </w:r>
          </w:p>
          <w:p>
            <w:pPr>
              <w:spacing w:after="40"/>
            </w:pPr>
            <w:r>
              <w:rPr>
                <w:rFonts w:ascii="Arial" w:cs="Arial" w:eastAsia="Arial" w:hAnsi="Arial"/>
                <w:color w:val="1E1A14"/>
                <w:sz w:val="21"/>
                <w:szCs w:val="21"/>
              </w:rPr>
              <w:t xml:space="preserve">Staff should not pay for AI subscriptions on personal accounts and use them for sensitive work tasks — even if the tool is good. The data protection question is different on a personal account.</w:t>
            </w:r>
          </w:p>
          <w:p>
            <w:pPr>
              <w:spacing w:after="40"/>
            </w:pPr>
            <w:r>
              <w:rPr>
                <w:rFonts w:ascii="Arial" w:cs="Arial" w:eastAsia="Arial" w:hAnsi="Arial"/>
                <w:color w:val="1E1A14"/>
                <w:sz w:val="21"/>
                <w:szCs w:val="21"/>
              </w:rPr>
              <w:t xml:space="preserve">The right question to ask your manager or IT: “What AI tools are approved for use at our institution, and are any already included in our existing software agreements?”</w:t>
            </w:r>
          </w:p>
          <w:p>
            <w:pPr>
              <w:spacing w:after="40"/>
            </w:pPr>
            <w:r>
              <w:rPr>
                <w:rFonts w:ascii="Arial" w:cs="Arial" w:eastAsia="Arial" w:hAnsi="Arial"/>
                <w:color w:val="1E1A14"/>
                <w:sz w:val="21"/>
                <w:szCs w:val="21"/>
              </w:rPr>
              <w:t xml:space="preserve">If you are paying for a personal subscription to do work tasks: flag it. Your institution may already have a better-protected institutional version.</w:t>
            </w:r>
          </w:p>
        </w:tc>
      </w:tr>
    </w:tbl>
    <w:p>
      <w:pPr>
        <w:spacing w:after="160"/>
      </w:pPr>
    </w:p>
    <w:p>
      <w:pPr>
        <w:pStyle w:val="Heading3"/>
      </w:pPr>
      <w:r>
        <w:rPr>
          <w:rFonts w:ascii="Arial" w:cs="Arial" w:eastAsia="Arial" w:hAnsi="Arial"/>
          <w:b/>
          <w:bCs/>
          <w:color w:val="1E1A14"/>
          <w:sz w:val="22"/>
          <w:szCs w:val="22"/>
        </w:rPr>
        <w:t xml:space="preserve">Activity 3.1 — Your First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741" w:sz="6"/>
              <w:left w:val="single" w:color="4A6741" w:sz="6"/>
              <w:bottom w:val="single" w:color="4A6741" w:sz="1"/>
              <w:right w:val="single" w:color="4A6741" w:sz="1"/>
            </w:tcBorders>
            <w:shd w:fill="EBF5F0" w:val="clear"/>
            <w:tcMar>
              <w:top w:type="dxa" w:w="120"/>
              <w:left w:type="dxa" w:w="160"/>
              <w:bottom w:type="dxa" w:w="120"/>
              <w:right w:type="dxa" w:w="160"/>
            </w:tcMar>
          </w:tcPr>
          <w:p>
            <w:pPr>
              <w:spacing w:after="60"/>
            </w:pPr>
            <w:r>
              <w:rPr>
                <w:rFonts w:ascii="Arial" w:cs="Arial" w:eastAsia="Arial" w:hAnsi="Arial"/>
                <w:b/>
                <w:bCs/>
                <w:color w:val="4A6741"/>
                <w:sz w:val="18"/>
                <w:szCs w:val="18"/>
              </w:rPr>
              <w:t xml:space="preserve">ACTIVITY 3.1</w:t>
            </w:r>
          </w:p>
          <w:p>
            <w:pPr>
              <w:spacing w:after="40"/>
            </w:pPr>
            <w:r>
              <w:rPr>
                <w:rFonts w:ascii="Arial" w:cs="Arial" w:eastAsia="Arial" w:hAnsi="Arial"/>
                <w:color w:val="1E1A14"/>
                <w:sz w:val="21"/>
                <w:szCs w:val="21"/>
              </w:rPr>
              <w:t xml:space="preserve">Open the AI tool that is most relevant to your situation right now. If you have M365 Copilot, open it in Microsoft Teams or at copilot.microsoft.com. If you have ChatGPT or Claude, open those.</w:t>
            </w:r>
          </w:p>
          <w:p>
            <w:pPr>
              <w:spacing w:after="40"/>
            </w:pPr>
            <w:r>
              <w:rPr>
                <w:rFonts w:ascii="Arial" w:cs="Arial" w:eastAsia="Arial" w:hAnsi="Arial"/>
                <w:color w:val="1E1A14"/>
                <w:sz w:val="21"/>
                <w:szCs w:val="21"/>
              </w:rPr>
              <w:t xml:space="preserve">Type one sentence: “Hello. I work at a community bank. What can you help me with today?”</w:t>
            </w:r>
          </w:p>
          <w:p>
            <w:pPr>
              <w:spacing w:after="40"/>
            </w:pPr>
            <w:r>
              <w:rPr>
                <w:rFonts w:ascii="Arial" w:cs="Arial" w:eastAsia="Arial" w:hAnsi="Arial"/>
                <w:color w:val="1E1A14"/>
                <w:sz w:val="21"/>
                <w:szCs w:val="21"/>
              </w:rPr>
              <w:t xml:space="preserve">Read the response. Spend 5 minutes clicking around. Find one feature you did not know existed.</w:t>
            </w:r>
          </w:p>
          <w:p>
            <w:pPr>
              <w:spacing w:after="40"/>
            </w:pPr>
            <w:r>
              <w:rPr>
                <w:rFonts w:ascii="Arial" w:cs="Arial" w:eastAsia="Arial" w:hAnsi="Arial"/>
                <w:color w:val="1E1A14"/>
                <w:sz w:val="21"/>
                <w:szCs w:val="21"/>
              </w:rPr>
              <w:t xml:space="preserve">Come back and answer: What is one thing this tool can do that you did not know before opening it?</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2D4A7A" w:val="clear"/>
            <w:tcMar>
              <w:top w:type="dxa" w:w="140"/>
              <w:left w:type="dxa" w:w="140"/>
              <w:bottom w:type="dxa" w:w="140"/>
              <w:right w:type="dxa" w:w="140"/>
            </w:tcMar>
            <w:vAlign w:val="center"/>
          </w:tcPr>
          <w:p>
            <w:pPr>
              <w:jc w:val="center"/>
            </w:pPr>
            <w:r>
              <w:rPr>
                <w:rFonts w:ascii="Arial" w:cs="Arial" w:eastAsia="Arial" w:hAnsi="Arial"/>
                <w:b/>
                <w:bCs/>
                <w:color w:val="FFFFFF"/>
                <w:sz w:val="36"/>
                <w:szCs w:val="36"/>
              </w:rPr>
              <w:t xml:space="preserve">M4</w:t>
            </w:r>
          </w:p>
          <w:p>
            <w:pPr>
              <w:jc w:val="center"/>
            </w:pPr>
            <w:r>
              <w:rPr>
                <w:rFonts w:ascii="Arial" w:cs="Arial" w:eastAsia="Arial" w:hAnsi="Arial"/>
                <w:i/>
                <w:iCs/>
                <w:color w:val="FFFFFF"/>
                <w:sz w:val="14"/>
                <w:szCs w:val="14"/>
              </w:rPr>
              <w:t xml:space="preserve">Understanding</w:t>
            </w:r>
          </w:p>
          <w:p>
            <w:pPr>
              <w:jc w:val="center"/>
            </w:pPr>
            <w:r>
              <w:rPr>
                <w:rFonts w:ascii="Arial" w:cs="Arial" w:eastAsia="Arial" w:hAnsi="Arial"/>
                <w:color w:val="FFFFFF"/>
                <w:sz w:val="14"/>
                <w:szCs w:val="14"/>
              </w:rPr>
              <w:t xml:space="preserve">~30 min</w:t>
            </w:r>
          </w:p>
        </w:tc>
        <w:tc>
          <w:tcPr>
            <w:tcW w:type="dxa" w:w="8260"/>
            <w:tcBorders>
              <w:top w:val="none" w:color="FFFFFF" w:sz="0"/>
              <w:left w:val="none" w:color="FFFFFF" w:sz="0"/>
              <w:bottom w:val="none" w:color="FFFFFF" w:sz="0"/>
              <w:right w:val="none" w:color="FFFFFF" w:sz="0"/>
            </w:tcBorders>
            <w:shd w:fill="EDE6D8" w:val="clear"/>
            <w:tcMar>
              <w:top w:type="dxa" w:w="140"/>
              <w:left w:type="dxa" w:w="180"/>
              <w:bottom w:type="dxa" w:w="140"/>
              <w:right w:type="dxa" w:w="140"/>
            </w:tcMar>
          </w:tcPr>
          <w:p>
            <w:pPr>
              <w:spacing w:after="50"/>
            </w:pPr>
            <w:r>
              <w:rPr>
                <w:rFonts w:ascii="Arial" w:cs="Arial" w:eastAsia="Arial" w:hAnsi="Arial"/>
                <w:b/>
                <w:bCs/>
                <w:color w:val="1E1A14"/>
                <w:sz w:val="28"/>
                <w:szCs w:val="28"/>
              </w:rPr>
              <w:t xml:space="preserve">Platform Features Deep Dive</w:t>
            </w:r>
          </w:p>
          <w:p>
            <w:pPr>
              <w:spacing w:after="0"/>
            </w:pPr>
            <w:r>
              <w:rPr>
                <w:rFonts w:ascii="Arial" w:cs="Arial" w:eastAsia="Arial" w:hAnsi="Arial"/>
                <w:i/>
                <w:iCs/>
                <w:color w:val="6B6355"/>
                <w:sz w:val="21"/>
                <w:szCs w:val="21"/>
              </w:rPr>
              <w:t xml:space="preserve">Learning goal: The learner knows the key features available across platforms — deep research, web search, file analysis, voice, custom instructions — and knows which features apply to their specific tools.</w:t>
            </w:r>
          </w:p>
        </w:tc>
      </w:tr>
    </w:tbl>
    <w:p>
      <w:pPr>
        <w:spacing w:after="80"/>
      </w:pPr>
    </w:p>
    <w:p>
      <w:pPr>
        <w:pStyle w:val="Heading3"/>
      </w:pPr>
      <w:r>
        <w:rPr>
          <w:rFonts w:ascii="Arial" w:cs="Arial" w:eastAsia="Arial" w:hAnsi="Arial"/>
          <w:b/>
          <w:bCs/>
          <w:color w:val="1E1A14"/>
          <w:sz w:val="22"/>
          <w:szCs w:val="22"/>
        </w:rPr>
        <w:t xml:space="preserve">Content Specification</w:t>
      </w:r>
    </w:p>
    <w:p>
      <w:pPr>
        <w:spacing w:after="120"/>
      </w:pPr>
      <w:r>
        <w:rPr>
          <w:rFonts w:ascii="Arial" w:cs="Arial" w:eastAsia="Arial" w:hAnsi="Arial"/>
          <w:b/>
          <w:bCs/>
          <w:color w:val="1E1A14"/>
          <w:sz w:val="22"/>
          <w:szCs w:val="22"/>
        </w:rPr>
        <w:t xml:space="preserve">Feature coverage across platforms</w:t>
      </w:r>
    </w:p>
    <w:p>
      <w:pPr>
        <w:spacing w:after="120"/>
      </w:pPr>
      <w:r>
        <w:rPr>
          <w:rFonts w:ascii="Arial" w:cs="Arial" w:eastAsia="Arial" w:hAnsi="Arial"/>
          <w:i w:val="false"/>
          <w:iCs w:val="false"/>
          <w:color w:val="6B6355"/>
          <w:sz w:val="22"/>
          <w:szCs w:val="22"/>
        </w:rPr>
        <w:t xml:space="preserve">This module covers the features that transform a chat interface into a professional tool. Not every platform has every feature. The course presents the full feature set and flags which platforms offer what.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3360"/>
      </w:tblGrid>
      <w:tr>
        <w:trPr>
          <w:tblHeader/>
        </w:trPr>
        <w:tc>
          <w:tcPr>
            <w:tcW w:type="dxa" w:w="18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Feature</w:t>
            </w:r>
          </w:p>
        </w:tc>
        <w:tc>
          <w:tcPr>
            <w:tcW w:type="dxa" w:w="22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What It Does</w:t>
            </w:r>
          </w:p>
        </w:tc>
        <w:tc>
          <w:tcPr>
            <w:tcW w:type="dxa" w:w="20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Which Platforms</w:t>
            </w:r>
          </w:p>
        </w:tc>
        <w:tc>
          <w:tcPr>
            <w:tcW w:type="dxa" w:w="336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Banking Use Case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Deep Research / Research Mode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AI conducts multi-source research, synthesizes findings, produces a comprehensive report with citations. Takes 2–10 minutes to run.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ChatGPT (Deep Research), Perplexity (Pro), Gemini (Deep Research)</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Research a regulatory topic, competitive intelligence, industry trend analysis</w:t>
            </w:r>
          </w:p>
        </w:tc>
      </w:tr>
      <w:tr>
        <w:tc>
          <w:tcPr>
            <w:tcW w:type="dxa" w:w="18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Web Search / Real-time Information</w:t>
            </w:r>
          </w:p>
        </w:tc>
        <w:tc>
          <w:tcPr>
            <w:tcW w:type="dxa" w:w="22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AI searches the web during your conversation, citing sources. Gets current information, not just training data.</w:t>
            </w:r>
          </w:p>
        </w:tc>
        <w:tc>
          <w:tcPr>
            <w:tcW w:type="dxa" w:w="20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ChatGPT (with search), Claude (with search), Perplexity (always-on), Copilot</w:t>
            </w:r>
          </w:p>
        </w:tc>
        <w:tc>
          <w:tcPr>
            <w:tcW w:type="dxa" w:w="33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Current CFPB guidance, recent rate changes, news about a borrower or industry</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File Upload and Analysis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Upload PDFs, Word docs, spreadsheets, images. AI reads and analyzes the content.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ChatGPT (4o), Claude (all paid), Gemini, Copilot in M365</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Upload a loan file for QC review, analyze a financial statement, summarize a regulatory document</w:t>
            </w:r>
          </w:p>
        </w:tc>
      </w:tr>
      <w:tr>
        <w:tc>
          <w:tcPr>
            <w:tcW w:type="dxa" w:w="18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Voice Mode</w:t>
            </w:r>
          </w:p>
        </w:tc>
        <w:tc>
          <w:tcPr>
            <w:tcW w:type="dxa" w:w="22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Talk to the AI, receive spoken responses. Useful for hands-free situations.</w:t>
            </w:r>
          </w:p>
        </w:tc>
        <w:tc>
          <w:tcPr>
            <w:tcW w:type="dxa" w:w="20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ChatGPT (Advanced Voice), Claude (voice in mobile app), Copilot (voice)</w:t>
            </w:r>
          </w:p>
        </w:tc>
        <w:tc>
          <w:tcPr>
            <w:tcW w:type="dxa" w:w="33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Quick question while commuting, verbal dictation of meeting notes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Custom Instructions / System Prompt / Skills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Save instructions that apply to every conversation. “Always respond in the format of a professional banking memo.” Persistent across sessions.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ChatGPT (Custom Instructions), Claude (Projects/System Prompt), Copilot (custom instructions), Gemini (custom instructions)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This is the skills module — covered in depth in M6–M8</w:t>
            </w:r>
          </w:p>
        </w:tc>
      </w:tr>
      <w:tr>
        <w:tc>
          <w:tcPr>
            <w:tcW w:type="dxa" w:w="18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Memory / Persistent Context</w:t>
            </w:r>
          </w:p>
        </w:tc>
        <w:tc>
          <w:tcPr>
            <w:tcW w:type="dxa" w:w="22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AI remembers things about you and your preferences across conversations.</w:t>
            </w:r>
          </w:p>
        </w:tc>
        <w:tc>
          <w:tcPr>
            <w:tcW w:type="dxa" w:w="20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ChatGPT (memory), limited in others</w:t>
            </w:r>
          </w:p>
        </w:tc>
        <w:tc>
          <w:tcPr>
            <w:tcW w:type="dxa" w:w="33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Remembers your institution’s name, your role, your common tasks — reduces re-prompting</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Image and Document Generation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Create images, charts, presentations from prompts.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ChatGPT (DALL-E), Copilot (Designer), Gemini (image gen)</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Marketing materials, presentation graphics — limited use in compliance-heavy banking contexts</w:t>
            </w:r>
          </w:p>
        </w:tc>
      </w:tr>
      <w:tr>
        <w:tc>
          <w:tcPr>
            <w:tcW w:type="dxa" w:w="18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NotebookLM — Document Q&amp;A</w:t>
            </w:r>
          </w:p>
        </w:tc>
        <w:tc>
          <w:tcPr>
            <w:tcW w:type="dxa" w:w="22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Upload up to 50 sources (PDFs, docs, URLs). Ask questions across all of them. Produces cited answers from your own document set.</w:t>
            </w:r>
          </w:p>
        </w:tc>
        <w:tc>
          <w:tcPr>
            <w:tcW w:type="dxa" w:w="20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NotebookLM (Google)</w:t>
            </w:r>
          </w:p>
        </w:tc>
        <w:tc>
          <w:tcPr>
            <w:tcW w:type="dxa" w:w="33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Upload your institution’s policy library and ask “What is our DTI limit for jumbo loans?”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Perplexity — Cited Search</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Every answer includes clickable citations. Designed for research accuracy over generation fluency.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Perplexity</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Regulatory research, industry data, competitive analysis — especially for compliance officers</w:t>
            </w:r>
          </w:p>
        </w:tc>
      </w:tr>
    </w:tbl>
    <w:p>
      <w:pPr>
        <w:spacing w:after="160"/>
      </w:pPr>
    </w:p>
    <w:p>
      <w:pPr>
        <w:pStyle w:val="Heading3"/>
      </w:pPr>
      <w:r>
        <w:rPr>
          <w:rFonts w:ascii="Arial" w:cs="Arial" w:eastAsia="Arial" w:hAnsi="Arial"/>
          <w:b/>
          <w:bCs/>
          <w:color w:val="1E1A14"/>
          <w:sz w:val="22"/>
          <w:szCs w:val="22"/>
        </w:rPr>
        <w:t xml:space="preserve">Role-Specific Feature Spotlights</w:t>
      </w:r>
    </w:p>
    <w:p>
      <w:pPr>
        <w:spacing w:after="120"/>
      </w:pPr>
      <w:r>
        <w:rPr>
          <w:rFonts w:ascii="Arial" w:cs="Arial" w:eastAsia="Arial" w:hAnsi="Arial"/>
          <w:i w:val="false"/>
          <w:iCs w:val="false"/>
          <w:color w:val="6B6355"/>
          <w:sz w:val="22"/>
          <w:szCs w:val="22"/>
        </w:rPr>
        <w:t xml:space="preserve">Based on the learner’s selected role from the onboarding survey, one of the following spotlights is shown in Module 4. All spotlights are accessible from the module but the relevant one is highlighted.</w:t>
      </w:r>
    </w:p>
    <w:p>
      <w:pPr>
        <w:spacing w:after="80"/>
      </w:pPr>
    </w:p>
    <w:p>
      <w:pPr>
        <w:spacing w:after="120"/>
      </w:pPr>
      <w:r>
        <w:rPr>
          <w:rFonts w:ascii="Arial" w:cs="Arial" w:eastAsia="Arial" w:hAnsi="Arial"/>
          <w:b/>
          <w:bCs/>
          <w:color w:val="1E1A14"/>
          <w:sz w:val="22"/>
          <w:szCs w:val="22"/>
        </w:rPr>
        <w:t xml:space="preserve">Lending</w:t>
      </w:r>
    </w:p>
    <w:p>
      <w:pPr>
        <w:pStyle w:val="ListParagraph"/>
        <w:numPr>
          <w:ilvl w:val="0"/>
          <w:numId w:val="2"/>
        </w:numPr>
        <w:spacing w:after="80"/>
      </w:pPr>
      <w:r>
        <w:rPr>
          <w:rFonts w:ascii="Arial" w:cs="Arial" w:eastAsia="Arial" w:hAnsi="Arial"/>
          <w:color w:val="6B6355"/>
          <w:sz w:val="22"/>
          <w:szCs w:val="22"/>
        </w:rPr>
        <w:t xml:space="preserve">File upload: upload a loan application, ask AI to check for completeness against your checklist</w:t>
      </w:r>
    </w:p>
    <w:p>
      <w:pPr>
        <w:pStyle w:val="ListParagraph"/>
        <w:numPr>
          <w:ilvl w:val="0"/>
          <w:numId w:val="2"/>
        </w:numPr>
        <w:spacing w:after="80"/>
      </w:pPr>
      <w:r>
        <w:rPr>
          <w:rFonts w:ascii="Arial" w:cs="Arial" w:eastAsia="Arial" w:hAnsi="Arial"/>
          <w:color w:val="6B6355"/>
          <w:sz w:val="22"/>
          <w:szCs w:val="22"/>
        </w:rPr>
        <w:t xml:space="preserve">Web search: research a borrower’s industry or a commercial property market</w:t>
      </w:r>
    </w:p>
    <w:p>
      <w:pPr>
        <w:pStyle w:val="ListParagraph"/>
        <w:numPr>
          <w:ilvl w:val="0"/>
          <w:numId w:val="2"/>
        </w:numPr>
        <w:spacing w:after="80"/>
      </w:pPr>
      <w:r>
        <w:rPr>
          <w:rFonts w:ascii="Arial" w:cs="Arial" w:eastAsia="Arial" w:hAnsi="Arial"/>
          <w:color w:val="6B6355"/>
          <w:sz w:val="22"/>
          <w:szCs w:val="22"/>
        </w:rPr>
        <w:t xml:space="preserve">Deep research: competitive rate analysis, underwriting guideline benchmarking</w:t>
      </w:r>
    </w:p>
    <w:p>
      <w:pPr>
        <w:pStyle w:val="ListParagraph"/>
        <w:numPr>
          <w:ilvl w:val="0"/>
          <w:numId w:val="2"/>
        </w:numPr>
        <w:spacing w:after="80"/>
      </w:pPr>
      <w:r>
        <w:rPr>
          <w:rFonts w:ascii="Arial" w:cs="Arial" w:eastAsia="Arial" w:hAnsi="Arial"/>
          <w:color w:val="6B6355"/>
          <w:sz w:val="22"/>
          <w:szCs w:val="22"/>
        </w:rPr>
        <w:t xml:space="preserve">NotebookLM: upload your credit policy, ask questions against it</w:t>
      </w:r>
    </w:p>
    <w:p>
      <w:pPr>
        <w:spacing w:after="80"/>
      </w:pPr>
    </w:p>
    <w:p>
      <w:pPr>
        <w:spacing w:after="120"/>
      </w:pPr>
      <w:r>
        <w:rPr>
          <w:rFonts w:ascii="Arial" w:cs="Arial" w:eastAsia="Arial" w:hAnsi="Arial"/>
          <w:b/>
          <w:bCs/>
          <w:color w:val="1E1A14"/>
          <w:sz w:val="22"/>
          <w:szCs w:val="22"/>
        </w:rPr>
        <w:t xml:space="preserve">Operations</w:t>
      </w:r>
    </w:p>
    <w:p>
      <w:pPr>
        <w:pStyle w:val="ListParagraph"/>
        <w:numPr>
          <w:ilvl w:val="0"/>
          <w:numId w:val="2"/>
        </w:numPr>
        <w:spacing w:after="80"/>
      </w:pPr>
      <w:r>
        <w:rPr>
          <w:rFonts w:ascii="Arial" w:cs="Arial" w:eastAsia="Arial" w:hAnsi="Arial"/>
          <w:color w:val="6B6355"/>
          <w:sz w:val="22"/>
          <w:szCs w:val="22"/>
        </w:rPr>
        <w:t xml:space="preserve">File upload: upload a month-end report and ask for a plain-language summary</w:t>
      </w:r>
    </w:p>
    <w:p>
      <w:pPr>
        <w:pStyle w:val="ListParagraph"/>
        <w:numPr>
          <w:ilvl w:val="0"/>
          <w:numId w:val="2"/>
        </w:numPr>
        <w:spacing w:after="80"/>
      </w:pPr>
      <w:r>
        <w:rPr>
          <w:rFonts w:ascii="Arial" w:cs="Arial" w:eastAsia="Arial" w:hAnsi="Arial"/>
          <w:color w:val="6B6355"/>
          <w:sz w:val="22"/>
          <w:szCs w:val="22"/>
        </w:rPr>
        <w:t xml:space="preserve">Custom instructions: save a recurring report format so every output matches your standard</w:t>
      </w:r>
    </w:p>
    <w:p>
      <w:pPr>
        <w:pStyle w:val="ListParagraph"/>
        <w:numPr>
          <w:ilvl w:val="0"/>
          <w:numId w:val="2"/>
        </w:numPr>
        <w:spacing w:after="80"/>
      </w:pPr>
      <w:r>
        <w:rPr>
          <w:rFonts w:ascii="Arial" w:cs="Arial" w:eastAsia="Arial" w:hAnsi="Arial"/>
          <w:color w:val="6B6355"/>
          <w:sz w:val="22"/>
          <w:szCs w:val="22"/>
        </w:rPr>
        <w:t xml:space="preserve">Web search: check for processing outages, vendor announcements, regulatory deadlines</w:t>
      </w:r>
    </w:p>
    <w:p>
      <w:pPr>
        <w:pStyle w:val="ListParagraph"/>
        <w:numPr>
          <w:ilvl w:val="0"/>
          <w:numId w:val="2"/>
        </w:numPr>
        <w:spacing w:after="80"/>
      </w:pPr>
      <w:r>
        <w:rPr>
          <w:rFonts w:ascii="Arial" w:cs="Arial" w:eastAsia="Arial" w:hAnsi="Arial"/>
          <w:color w:val="6B6355"/>
          <w:sz w:val="22"/>
          <w:szCs w:val="22"/>
        </w:rPr>
        <w:t xml:space="preserve">Memory: AI remembers your institution name, your standard report format, your preferred output style</w:t>
      </w:r>
    </w:p>
    <w:p>
      <w:pPr>
        <w:spacing w:after="80"/>
      </w:pPr>
    </w:p>
    <w:p>
      <w:pPr>
        <w:spacing w:after="120"/>
      </w:pPr>
      <w:r>
        <w:rPr>
          <w:rFonts w:ascii="Arial" w:cs="Arial" w:eastAsia="Arial" w:hAnsi="Arial"/>
          <w:b/>
          <w:bCs/>
          <w:color w:val="1E1A14"/>
          <w:sz w:val="22"/>
          <w:szCs w:val="22"/>
        </w:rPr>
        <w:t xml:space="preserve">Compliance</w:t>
      </w:r>
    </w:p>
    <w:p>
      <w:pPr>
        <w:pStyle w:val="ListParagraph"/>
        <w:numPr>
          <w:ilvl w:val="0"/>
          <w:numId w:val="2"/>
        </w:numPr>
        <w:spacing w:after="80"/>
      </w:pPr>
      <w:r>
        <w:rPr>
          <w:rFonts w:ascii="Arial" w:cs="Arial" w:eastAsia="Arial" w:hAnsi="Arial"/>
          <w:color w:val="6B6355"/>
          <w:sz w:val="22"/>
          <w:szCs w:val="22"/>
        </w:rPr>
        <w:t xml:space="preserve">Perplexity: current regulatory guidance with citations — far safer than ChatGPT for currency-sensitive research</w:t>
      </w:r>
    </w:p>
    <w:p>
      <w:pPr>
        <w:pStyle w:val="ListParagraph"/>
        <w:numPr>
          <w:ilvl w:val="0"/>
          <w:numId w:val="2"/>
        </w:numPr>
        <w:spacing w:after="80"/>
      </w:pPr>
      <w:r>
        <w:rPr>
          <w:rFonts w:ascii="Arial" w:cs="Arial" w:eastAsia="Arial" w:hAnsi="Arial"/>
          <w:color w:val="6B6355"/>
          <w:sz w:val="22"/>
          <w:szCs w:val="22"/>
        </w:rPr>
        <w:t xml:space="preserve">NotebookLM: upload examination manuals, internal policies, regulatory guidance — query across all of them</w:t>
      </w:r>
    </w:p>
    <w:p>
      <w:pPr>
        <w:pStyle w:val="ListParagraph"/>
        <w:numPr>
          <w:ilvl w:val="0"/>
          <w:numId w:val="2"/>
        </w:numPr>
        <w:spacing w:after="80"/>
      </w:pPr>
      <w:r>
        <w:rPr>
          <w:rFonts w:ascii="Arial" w:cs="Arial" w:eastAsia="Arial" w:hAnsi="Arial"/>
          <w:color w:val="6B6355"/>
          <w:sz w:val="22"/>
          <w:szCs w:val="22"/>
        </w:rPr>
        <w:t xml:space="preserve">File upload: upload a regulatory change document and ask “What action does this require from a BSA officer?”</w:t>
      </w:r>
    </w:p>
    <w:p>
      <w:pPr>
        <w:pStyle w:val="ListParagraph"/>
        <w:numPr>
          <w:ilvl w:val="0"/>
          <w:numId w:val="2"/>
        </w:numPr>
        <w:spacing w:after="80"/>
      </w:pPr>
      <w:r>
        <w:rPr>
          <w:rFonts w:ascii="Arial" w:cs="Arial" w:eastAsia="Arial" w:hAnsi="Arial"/>
          <w:color w:val="6B6355"/>
          <w:sz w:val="22"/>
          <w:szCs w:val="22"/>
        </w:rPr>
        <w:t xml:space="preserve">Web search: real-time monitoring of CFPB, OCC, FDIC, NCUA bulletin pages</w:t>
      </w:r>
    </w:p>
    <w:p>
      <w:pPr>
        <w:spacing w:after="80"/>
      </w:pPr>
    </w:p>
    <w:p>
      <w:pPr>
        <w:spacing w:after="120"/>
      </w:pPr>
      <w:r>
        <w:rPr>
          <w:rFonts w:ascii="Arial" w:cs="Arial" w:eastAsia="Arial" w:hAnsi="Arial"/>
          <w:b/>
          <w:bCs/>
          <w:color w:val="1E1A14"/>
          <w:sz w:val="22"/>
          <w:szCs w:val="22"/>
        </w:rPr>
        <w:t xml:space="preserve">Marketing</w:t>
      </w:r>
    </w:p>
    <w:p>
      <w:pPr>
        <w:pStyle w:val="ListParagraph"/>
        <w:numPr>
          <w:ilvl w:val="0"/>
          <w:numId w:val="2"/>
        </w:numPr>
        <w:spacing w:after="80"/>
      </w:pPr>
      <w:r>
        <w:rPr>
          <w:rFonts w:ascii="Arial" w:cs="Arial" w:eastAsia="Arial" w:hAnsi="Arial"/>
          <w:color w:val="6B6355"/>
          <w:sz w:val="22"/>
          <w:szCs w:val="22"/>
        </w:rPr>
        <w:t xml:space="preserve">Image generation: campaign graphics, social media images, presentation visuals</w:t>
      </w:r>
    </w:p>
    <w:p>
      <w:pPr>
        <w:pStyle w:val="ListParagraph"/>
        <w:numPr>
          <w:ilvl w:val="0"/>
          <w:numId w:val="2"/>
        </w:numPr>
        <w:spacing w:after="80"/>
      </w:pPr>
      <w:r>
        <w:rPr>
          <w:rFonts w:ascii="Arial" w:cs="Arial" w:eastAsia="Arial" w:hAnsi="Arial"/>
          <w:color w:val="6B6355"/>
          <w:sz w:val="22"/>
          <w:szCs w:val="22"/>
        </w:rPr>
        <w:t xml:space="preserve">Custom instructions: brand voice, tone guidelines, approved messaging language saved once and applied always</w:t>
      </w:r>
    </w:p>
    <w:p>
      <w:pPr>
        <w:pStyle w:val="ListParagraph"/>
        <w:numPr>
          <w:ilvl w:val="0"/>
          <w:numId w:val="2"/>
        </w:numPr>
        <w:spacing w:after="80"/>
      </w:pPr>
      <w:r>
        <w:rPr>
          <w:rFonts w:ascii="Arial" w:cs="Arial" w:eastAsia="Arial" w:hAnsi="Arial"/>
          <w:color w:val="6B6355"/>
          <w:sz w:val="22"/>
          <w:szCs w:val="22"/>
        </w:rPr>
        <w:t xml:space="preserve">Gemini with Google Workspace: draft in Docs, analyze in Sheets, present in Slides — AI integrated throughout</w:t>
      </w:r>
    </w:p>
    <w:p>
      <w:pPr>
        <w:pStyle w:val="ListParagraph"/>
        <w:numPr>
          <w:ilvl w:val="0"/>
          <w:numId w:val="2"/>
        </w:numPr>
        <w:spacing w:after="80"/>
      </w:pPr>
      <w:r>
        <w:rPr>
          <w:rFonts w:ascii="Arial" w:cs="Arial" w:eastAsia="Arial" w:hAnsi="Arial"/>
          <w:color w:val="6B6355"/>
          <w:sz w:val="22"/>
          <w:szCs w:val="22"/>
        </w:rPr>
        <w:t xml:space="preserve">NotebookLM: upload competitor websites and product materials, research and compare</w:t>
      </w:r>
    </w:p>
    <w:p>
      <w:pPr>
        <w:spacing w:after="80"/>
      </w:pPr>
    </w:p>
    <w:p>
      <w:pPr>
        <w:spacing w:after="120"/>
      </w:pPr>
      <w:r>
        <w:rPr>
          <w:rFonts w:ascii="Arial" w:cs="Arial" w:eastAsia="Arial" w:hAnsi="Arial"/>
          <w:b/>
          <w:bCs/>
          <w:color w:val="1E1A14"/>
          <w:sz w:val="22"/>
          <w:szCs w:val="22"/>
        </w:rPr>
        <w:t xml:space="preserve">Finance / Accounting</w:t>
      </w:r>
    </w:p>
    <w:p>
      <w:pPr>
        <w:pStyle w:val="ListParagraph"/>
        <w:numPr>
          <w:ilvl w:val="0"/>
          <w:numId w:val="2"/>
        </w:numPr>
        <w:spacing w:after="80"/>
      </w:pPr>
      <w:r>
        <w:rPr>
          <w:rFonts w:ascii="Arial" w:cs="Arial" w:eastAsia="Arial" w:hAnsi="Arial"/>
          <w:color w:val="6B6355"/>
          <w:sz w:val="22"/>
          <w:szCs w:val="22"/>
        </w:rPr>
        <w:t xml:space="preserve">File upload: upload a balance sheet or income statement, ask for variance analysis</w:t>
      </w:r>
    </w:p>
    <w:p>
      <w:pPr>
        <w:pStyle w:val="ListParagraph"/>
        <w:numPr>
          <w:ilvl w:val="0"/>
          <w:numId w:val="2"/>
        </w:numPr>
        <w:spacing w:after="80"/>
      </w:pPr>
      <w:r>
        <w:rPr>
          <w:rFonts w:ascii="Arial" w:cs="Arial" w:eastAsia="Arial" w:hAnsi="Arial"/>
          <w:color w:val="6B6355"/>
          <w:sz w:val="22"/>
          <w:szCs w:val="22"/>
        </w:rPr>
        <w:t xml:space="preserve">Deep research: industry efficiency ratio benchmarking, peer bank analysis</w:t>
      </w:r>
    </w:p>
    <w:p>
      <w:pPr>
        <w:pStyle w:val="ListParagraph"/>
        <w:numPr>
          <w:ilvl w:val="0"/>
          <w:numId w:val="2"/>
        </w:numPr>
        <w:spacing w:after="80"/>
      </w:pPr>
      <w:r>
        <w:rPr>
          <w:rFonts w:ascii="Arial" w:cs="Arial" w:eastAsia="Arial" w:hAnsi="Arial"/>
          <w:color w:val="6B6355"/>
          <w:sz w:val="22"/>
          <w:szCs w:val="22"/>
        </w:rPr>
        <w:t xml:space="preserve">Custom instructions: financial memo format, reporting standards</w:t>
      </w:r>
    </w:p>
    <w:p>
      <w:pPr>
        <w:pStyle w:val="ListParagraph"/>
        <w:numPr>
          <w:ilvl w:val="0"/>
          <w:numId w:val="2"/>
        </w:numPr>
        <w:spacing w:after="80"/>
      </w:pPr>
      <w:r>
        <w:rPr>
          <w:rFonts w:ascii="Arial" w:cs="Arial" w:eastAsia="Arial" w:hAnsi="Arial"/>
          <w:color w:val="6B6355"/>
          <w:sz w:val="22"/>
          <w:szCs w:val="22"/>
        </w:rPr>
        <w:t xml:space="preserve">Web search: current rate environment, Fed announcements, economic data</w:t>
      </w:r>
    </w:p>
    <w:p>
      <w:pPr>
        <w:spacing w:after="160"/>
      </w:pPr>
    </w:p>
    <w:p>
      <w:pPr>
        <w:pStyle w:val="Heading3"/>
      </w:pPr>
      <w:r>
        <w:rPr>
          <w:rFonts w:ascii="Arial" w:cs="Arial" w:eastAsia="Arial" w:hAnsi="Arial"/>
          <w:b/>
          <w:bCs/>
          <w:color w:val="1E1A14"/>
          <w:sz w:val="22"/>
          <w:szCs w:val="22"/>
        </w:rPr>
        <w:t xml:space="preserve">Activity 4.1 — Feature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6"/>
              <w:left w:val="single" w:color="B8860B" w:sz="6"/>
              <w:bottom w:val="single" w:color="B8860B" w:sz="1"/>
              <w:right w:val="single" w:color="B8860B" w:sz="1"/>
            </w:tcBorders>
            <w:shd w:fill="FFF3CD" w:val="clear"/>
            <w:tcMar>
              <w:top w:type="dxa" w:w="120"/>
              <w:left w:type="dxa" w:w="160"/>
              <w:bottom w:type="dxa" w:w="120"/>
              <w:right w:type="dxa" w:w="160"/>
            </w:tcMar>
          </w:tcPr>
          <w:p>
            <w:pPr>
              <w:spacing w:after="60"/>
            </w:pPr>
            <w:r>
              <w:rPr>
                <w:rFonts w:ascii="Arial" w:cs="Arial" w:eastAsia="Arial" w:hAnsi="Arial"/>
                <w:b/>
                <w:bCs/>
                <w:color w:val="B8860B"/>
                <w:sz w:val="18"/>
                <w:szCs w:val="18"/>
              </w:rPr>
              <w:t xml:space="preserve">ACTIVITY 4.1</w:t>
            </w:r>
          </w:p>
          <w:p>
            <w:pPr>
              <w:spacing w:after="40"/>
            </w:pPr>
            <w:r>
              <w:rPr>
                <w:rFonts w:ascii="Arial" w:cs="Arial" w:eastAsia="Arial" w:hAnsi="Arial"/>
                <w:color w:val="1E1A14"/>
                <w:sz w:val="21"/>
                <w:szCs w:val="21"/>
              </w:rPr>
              <w:t xml:space="preserve">Pick one feature from the table above that you have never used. Open your AI tool and try it.</w:t>
            </w:r>
          </w:p>
          <w:p>
            <w:pPr>
              <w:spacing w:after="40"/>
            </w:pPr>
            <w:r>
              <w:rPr>
                <w:rFonts w:ascii="Arial" w:cs="Arial" w:eastAsia="Arial" w:hAnsi="Arial"/>
                <w:color w:val="1E1A14"/>
                <w:sz w:val="21"/>
                <w:szCs w:val="21"/>
              </w:rPr>
              <w:t xml:space="preserve">Suggestions by role: Lending — try file upload with any non-sensitive document. Compliance — try Perplexity for a regulatory topic. Operations — try custom instructions with one formatting preference. Marketing — try image generation.</w:t>
            </w:r>
          </w:p>
          <w:p>
            <w:pPr>
              <w:spacing w:after="40"/>
            </w:pPr>
            <w:r>
              <w:rPr>
                <w:rFonts w:ascii="Arial" w:cs="Arial" w:eastAsia="Arial" w:hAnsi="Arial"/>
                <w:color w:val="1E1A14"/>
                <w:sz w:val="21"/>
                <w:szCs w:val="21"/>
              </w:rPr>
              <w:t xml:space="preserve">Write two sentences: what you tried and what surprised you about how it worked (or did not work).</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2D4A7A" w:val="clear"/>
            <w:tcMar>
              <w:top w:type="dxa" w:w="140"/>
              <w:left w:type="dxa" w:w="140"/>
              <w:bottom w:type="dxa" w:w="140"/>
              <w:right w:type="dxa" w:w="140"/>
            </w:tcMar>
            <w:vAlign w:val="center"/>
          </w:tcPr>
          <w:p>
            <w:pPr>
              <w:jc w:val="center"/>
            </w:pPr>
            <w:r>
              <w:rPr>
                <w:rFonts w:ascii="Arial" w:cs="Arial" w:eastAsia="Arial" w:hAnsi="Arial"/>
                <w:b/>
                <w:bCs/>
                <w:color w:val="FFFFFF"/>
                <w:sz w:val="36"/>
                <w:szCs w:val="36"/>
              </w:rPr>
              <w:t xml:space="preserve">M5</w:t>
            </w:r>
          </w:p>
          <w:p>
            <w:pPr>
              <w:jc w:val="center"/>
            </w:pPr>
            <w:r>
              <w:rPr>
                <w:rFonts w:ascii="Arial" w:cs="Arial" w:eastAsia="Arial" w:hAnsi="Arial"/>
                <w:i/>
                <w:iCs/>
                <w:color w:val="FFFFFF"/>
                <w:sz w:val="14"/>
                <w:szCs w:val="14"/>
              </w:rPr>
              <w:t xml:space="preserve">Understanding</w:t>
            </w:r>
          </w:p>
          <w:p>
            <w:pPr>
              <w:jc w:val="center"/>
            </w:pPr>
            <w:r>
              <w:rPr>
                <w:rFonts w:ascii="Arial" w:cs="Arial" w:eastAsia="Arial" w:hAnsi="Arial"/>
                <w:color w:val="FFFFFF"/>
                <w:sz w:val="14"/>
                <w:szCs w:val="14"/>
              </w:rPr>
              <w:t xml:space="preserve">~20 min</w:t>
            </w:r>
          </w:p>
        </w:tc>
        <w:tc>
          <w:tcPr>
            <w:tcW w:type="dxa" w:w="8260"/>
            <w:tcBorders>
              <w:top w:val="none" w:color="FFFFFF" w:sz="0"/>
              <w:left w:val="none" w:color="FFFFFF" w:sz="0"/>
              <w:bottom w:val="none" w:color="FFFFFF" w:sz="0"/>
              <w:right w:val="none" w:color="FFFFFF" w:sz="0"/>
            </w:tcBorders>
            <w:shd w:fill="EDE6D8" w:val="clear"/>
            <w:tcMar>
              <w:top w:type="dxa" w:w="140"/>
              <w:left w:type="dxa" w:w="180"/>
              <w:bottom w:type="dxa" w:w="140"/>
              <w:right w:type="dxa" w:w="140"/>
            </w:tcMar>
          </w:tcPr>
          <w:p>
            <w:pPr>
              <w:spacing w:after="50"/>
            </w:pPr>
            <w:r>
              <w:rPr>
                <w:rFonts w:ascii="Arial" w:cs="Arial" w:eastAsia="Arial" w:hAnsi="Arial"/>
                <w:b/>
                <w:bCs/>
                <w:color w:val="1E1A14"/>
                <w:sz w:val="28"/>
                <w:szCs w:val="28"/>
              </w:rPr>
              <w:t xml:space="preserve">Safe Use + The Six Failure Patterns</w:t>
            </w:r>
          </w:p>
          <w:p>
            <w:pPr>
              <w:spacing w:after="0"/>
            </w:pPr>
            <w:r>
              <w:rPr>
                <w:rFonts w:ascii="Arial" w:cs="Arial" w:eastAsia="Arial" w:hAnsi="Arial"/>
                <w:i/>
                <w:iCs/>
                <w:color w:val="6B6355"/>
                <w:sz w:val="21"/>
                <w:szCs w:val="21"/>
              </w:rPr>
              <w:t xml:space="preserve">Learning goal: The learner can make a correct real-time judgment about what data is safe to use with which tool, and can identify the six ways AI specifically fails in banking contexts.</w:t>
            </w:r>
          </w:p>
        </w:tc>
      </w:tr>
    </w:tbl>
    <w:p>
      <w:pPr>
        <w:spacing w:after="80"/>
      </w:pPr>
    </w:p>
    <w:p>
      <w:pPr>
        <w:pStyle w:val="Heading3"/>
      </w:pPr>
      <w:r>
        <w:rPr>
          <w:rFonts w:ascii="Arial" w:cs="Arial" w:eastAsia="Arial" w:hAnsi="Arial"/>
          <w:b/>
          <w:bCs/>
          <w:color w:val="1E1A14"/>
          <w:sz w:val="22"/>
          <w:szCs w:val="22"/>
        </w:rPr>
        <w:t xml:space="preserve">Opening Frame — Shadow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2226" w:sz="6"/>
              <w:left w:val="single" w:color="9B2226" w:sz="6"/>
              <w:bottom w:val="single" w:color="9B2226" w:sz="1"/>
              <w:right w:val="single" w:color="9B2226" w:sz="1"/>
            </w:tcBorders>
            <w:shd w:fill="FDECEA" w:val="clear"/>
            <w:tcMar>
              <w:top w:type="dxa" w:w="120"/>
              <w:left w:type="dxa" w:w="160"/>
              <w:bottom w:type="dxa" w:w="120"/>
              <w:right w:type="dxa" w:w="160"/>
            </w:tcMar>
          </w:tcPr>
          <w:p>
            <w:pPr>
              <w:spacing w:after="60"/>
            </w:pPr>
            <w:r>
              <w:rPr>
                <w:rFonts w:ascii="Arial" w:cs="Arial" w:eastAsia="Arial" w:hAnsi="Arial"/>
                <w:b/>
                <w:bCs/>
                <w:color w:val="9B2226"/>
                <w:sz w:val="18"/>
                <w:szCs w:val="18"/>
              </w:rPr>
              <w:t xml:space="preserve">OPENING SCRIPT FOR MODULE 5</w:t>
            </w:r>
          </w:p>
          <w:p>
            <w:pPr>
              <w:spacing w:after="40"/>
            </w:pPr>
            <w:r>
              <w:rPr>
                <w:rFonts w:ascii="Arial" w:cs="Arial" w:eastAsia="Arial" w:hAnsi="Arial"/>
                <w:color w:val="1E1A14"/>
                <w:sz w:val="21"/>
                <w:szCs w:val="21"/>
              </w:rPr>
              <w:t xml:space="preserve">Before we talk about what you should do, let’s be honest about what’s already happening.</w:t>
            </w:r>
          </w:p>
          <w:p>
            <w:pPr>
              <w:spacing w:after="40"/>
            </w:pPr>
            <w:r>
              <w:rPr>
                <w:rFonts w:ascii="Arial" w:cs="Arial" w:eastAsia="Arial" w:hAnsi="Arial"/>
                <w:color w:val="1E1A14"/>
                <w:sz w:val="21"/>
                <w:szCs w:val="21"/>
              </w:rPr>
              <w:t xml:space="preserve">Some of you are already using AI for work tasks — on your personal phone, with a personal account, sometimes pasting in information to get a faster answer. You’re not alone. Most employees at most institutions are using AI tools in ways that aren’t officially sanctioned or tracked. This is called shadow AI.</w:t>
            </w:r>
          </w:p>
          <w:p>
            <w:pPr>
              <w:spacing w:after="40"/>
            </w:pPr>
            <w:r>
              <w:rPr>
                <w:rFonts w:ascii="Arial" w:cs="Arial" w:eastAsia="Arial" w:hAnsi="Arial"/>
                <w:color w:val="1E1A14"/>
                <w:sz w:val="21"/>
                <w:szCs w:val="21"/>
              </w:rPr>
              <w:t xml:space="preserve">The choice your institution faces is not ‘AI versus no AI.’ It’s ‘governed AI versus ungoverned AI.’ Ungoverned AI is already here. The question is whether it’s operating with guardrails or without them.</w:t>
            </w:r>
          </w:p>
          <w:p>
            <w:pPr>
              <w:spacing w:after="40"/>
            </w:pPr>
            <w:r>
              <w:rPr>
                <w:rFonts w:ascii="Arial" w:cs="Arial" w:eastAsia="Arial" w:hAnsi="Arial"/>
                <w:color w:val="1E1A14"/>
                <w:sz w:val="21"/>
                <w:szCs w:val="21"/>
              </w:rPr>
              <w:t xml:space="preserve">This module is about putting the guardrails in place — for your institution and for yourself.</w:t>
            </w:r>
          </w:p>
        </w:tc>
      </w:tr>
    </w:tbl>
    <w:p>
      <w:pPr>
        <w:spacing w:after="160"/>
      </w:pPr>
    </w:p>
    <w:p>
      <w:pPr>
        <w:pStyle w:val="Heading3"/>
      </w:pPr>
      <w:r>
        <w:rPr>
          <w:rFonts w:ascii="Arial" w:cs="Arial" w:eastAsia="Arial" w:hAnsi="Arial"/>
          <w:b/>
          <w:bCs/>
          <w:color w:val="1E1A14"/>
          <w:sz w:val="22"/>
          <w:szCs w:val="22"/>
        </w:rPr>
        <w:t xml:space="preserve">The Three-Tier Data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3400"/>
        <w:gridCol w:w="3960"/>
      </w:tblGrid>
      <w:tr>
        <w:trPr>
          <w:tblHeader/>
        </w:trPr>
        <w:tc>
          <w:tcPr>
            <w:tcW w:type="dxa" w:w="4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Tier</w:t>
            </w:r>
          </w:p>
        </w:tc>
        <w:tc>
          <w:tcPr>
            <w:tcW w:type="dxa" w:w="16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Label</w:t>
            </w:r>
          </w:p>
        </w:tc>
        <w:tc>
          <w:tcPr>
            <w:tcW w:type="dxa" w:w="34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What Goes Here</w:t>
            </w:r>
          </w:p>
        </w:tc>
        <w:tc>
          <w:tcPr>
            <w:tcW w:type="dxa" w:w="396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Never Use For</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1</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Never in any AI tool</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Member PII (account numbers, SSNs, addresses, balances, transactions). MNPI. Examination findings and MRA/MRIA content. SAR-related information. Proprietary credit policy detail.</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Tier 1 data should not appear in any AI prompt, ever, regardless of which tool or what protections are in place.</w:t>
            </w:r>
          </w:p>
        </w:tc>
      </w:tr>
      <w:tr>
        <w:tc>
          <w:tcPr>
            <w:tcW w:type="dxa" w:w="4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2</w:t>
            </w:r>
          </w:p>
        </w:tc>
        <w:tc>
          <w:tcPr>
            <w:tcW w:type="dxa" w:w="16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Enterprise-licensed tools only</w:t>
            </w:r>
          </w:p>
        </w:tc>
        <w:tc>
          <w:tcPr>
            <w:tcW w:type="dxa" w:w="34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Operational workflows with non-PII data. Internal policy drafts. Meeting summaries referencing staff. Financial reporting templates with placeholder data.</w:t>
            </w:r>
          </w:p>
        </w:tc>
        <w:tc>
          <w:tcPr>
            <w:tcW w:type="dxa" w:w="39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Do not use Tier 2 data with free personal accounts. Only use with tools your institution has reviewed and approved at the enterprise level.</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3</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Any tool</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Research on publicly available topics. Personal productivity tasks. Template and framework development with no institution-specific data. Learning and exploration.</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No restrictions on Tier 3 — this is the safest category for learning and experimentation.</w:t>
            </w:r>
          </w:p>
        </w:tc>
      </w:tr>
    </w:tbl>
    <w:p>
      <w:pPr>
        <w:spacing w:after="160"/>
      </w:pPr>
    </w:p>
    <w:p>
      <w:pPr>
        <w:pStyle w:val="Heading3"/>
      </w:pPr>
      <w:r>
        <w:rPr>
          <w:rFonts w:ascii="Arial" w:cs="Arial" w:eastAsia="Arial" w:hAnsi="Arial"/>
          <w:b/>
          <w:bCs/>
          <w:color w:val="1E1A14"/>
          <w:sz w:val="22"/>
          <w:szCs w:val="22"/>
        </w:rPr>
        <w:t xml:space="preserve">The Six Banking Hallucination Patterns</w:t>
      </w:r>
    </w:p>
    <w:p>
      <w:pPr>
        <w:spacing w:after="120"/>
      </w:pPr>
      <w:r>
        <w:rPr>
          <w:rFonts w:ascii="Arial" w:cs="Arial" w:eastAsia="Arial" w:hAnsi="Arial"/>
          <w:i w:val="false"/>
          <w:iCs w:val="false"/>
          <w:color w:val="6B6355"/>
          <w:sz w:val="22"/>
          <w:szCs w:val="22"/>
        </w:rPr>
        <w:t xml:space="preserve">Generic “AI makes things up” warnings do not stick. What sticks is a specific catalog of failure modes with real examples from their professional world. Each pattern below is taught with: what it looks like, a banking example, why it is dangerous, and the defense.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960"/>
      </w:tblGrid>
      <w:tr>
        <w:trPr>
          <w:tblHeader/>
        </w:trPr>
        <w:tc>
          <w:tcPr>
            <w:tcW w:type="dxa" w:w="18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Pattern</w:t>
            </w:r>
          </w:p>
        </w:tc>
        <w:tc>
          <w:tcPr>
            <w:tcW w:type="dxa" w:w="22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Banking Example</w:t>
            </w:r>
          </w:p>
        </w:tc>
        <w:tc>
          <w:tcPr>
            <w:tcW w:type="dxa" w:w="24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Why Dangerous</w:t>
            </w:r>
          </w:p>
        </w:tc>
        <w:tc>
          <w:tcPr>
            <w:tcW w:type="dxa" w:w="296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The Defense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1. Regulatory Citation Fabrication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AI states: “Per CFPB Bulletin 2024-03, institutions must provide 45-day notice before modifying overdraft programs.” (This bulletin does not exist.)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Compliance officer copies it into a board report. Citation looks real. Nobody verifies it before distribution.</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Every regulatory citation AI generates is treated as unverified until pulled from the primary source. Every one. No exceptions.</w:t>
            </w:r>
          </w:p>
        </w:tc>
      </w:tr>
      <w:tr>
        <w:tc>
          <w:tcPr>
            <w:tcW w:type="dxa" w:w="18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2. Financial Ratio Confabulation</w:t>
            </w:r>
          </w:p>
        </w:tc>
        <w:tc>
          <w:tcPr>
            <w:tcW w:type="dxa" w:w="22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AI calculates efficiency ratio using total assets as the denominator instead of net revenue. Number looks plausible. It is wrong.</w:t>
            </w:r>
          </w:p>
        </w:tc>
        <w:tc>
          <w:tcPr>
            <w:tcW w:type="dxa" w:w="24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CFO presents incorrect efficiency ratio at board meeting. Decisions made on wrong number.</w:t>
            </w:r>
          </w:p>
        </w:tc>
        <w:tc>
          <w:tcPr>
            <w:tcW w:type="dxa" w:w="29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Verify every AI-calculated financial ratio against a known-correct formula. Always check which formula was used.</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3. Credit Policy Hallucination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AI states a maximum DTI of 43% for conforming loans. Your institution’s actual policy is 40%. Credit memo gets approved on a policy the institution never adopted.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Examiner asks where the 43% came from. Paper trail misrepresents your underwriting standards.</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Your actual policy document must be in the prompt. AI can only apply the constraints you give it.</w:t>
            </w:r>
          </w:p>
        </w:tc>
      </w:tr>
      <w:tr>
        <w:tc>
          <w:tcPr>
            <w:tcW w:type="dxa" w:w="18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4. Temporal Regulatory Confusion</w:t>
            </w:r>
          </w:p>
        </w:tc>
        <w:tc>
          <w:tcPr>
            <w:tcW w:type="dxa" w:w="22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AI states the “current CFPB position” based on 2022 guidance that was significantly updated in 2025.</w:t>
            </w:r>
          </w:p>
        </w:tc>
        <w:tc>
          <w:tcPr>
            <w:tcW w:type="dxa" w:w="24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Institution’s compliance program is built around a superseded standard. Examination reveals the gap.</w:t>
            </w:r>
          </w:p>
        </w:tc>
        <w:tc>
          <w:tcPr>
            <w:tcW w:type="dxa" w:w="29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For regulatory currency: verify at the primary source. Training data has a cutoff. Regulations do not.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5. SAR Narrative Overreach</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AI drafts: “Transaction pattern is consistent with structuring in violation of 31 U.S.C. § 5324.” BSA officer copies it into the SAR.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Institution is not law enforcement. Drawing legal conclusions creates exposure and misunderstands the filer’s role.</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AI drafts SAR narratives. BSA officer decides. Every SAR reviewed by a qualified human before filing.</w:t>
            </w:r>
          </w:p>
        </w:tc>
      </w:tr>
      <w:tr>
        <w:tc>
          <w:tcPr>
            <w:tcW w:type="dxa" w:w="18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6. Fabricated Precedent</w:t>
            </w:r>
          </w:p>
        </w:tc>
        <w:tc>
          <w:tcPr>
            <w:tcW w:type="dxa" w:w="22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AI supports a credit exception by citing “comparable situations at three peer institutions.” Those examples are invented.</w:t>
            </w:r>
          </w:p>
        </w:tc>
        <w:tc>
          <w:tcPr>
            <w:tcW w:type="dxa" w:w="24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Looks like research. Reads as due diligence. Hardest pattern to detect. Most dangerous in exception memos.</w:t>
            </w:r>
          </w:p>
        </w:tc>
        <w:tc>
          <w:tcPr>
            <w:tcW w:type="dxa" w:w="29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AI cannot provide comparable case history. Any cited peer example is fabricated unless independently verified.</w:t>
            </w:r>
          </w:p>
        </w:tc>
      </w:tr>
    </w:tbl>
    <w:p>
      <w:pPr>
        <w:spacing w:after="160"/>
      </w:pPr>
    </w:p>
    <w:p>
      <w:pPr>
        <w:pStyle w:val="Heading3"/>
      </w:pPr>
      <w:r>
        <w:rPr>
          <w:rFonts w:ascii="Arial" w:cs="Arial" w:eastAsia="Arial" w:hAnsi="Arial"/>
          <w:b/>
          <w:bCs/>
          <w:color w:val="1E1A14"/>
          <w:sz w:val="22"/>
          <w:szCs w:val="22"/>
        </w:rPr>
        <w:t xml:space="preserve">Activity 5.1 — The 20-Second Classification Drill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6"/>
              <w:left w:val="single" w:color="B8860B" w:sz="6"/>
              <w:bottom w:val="single" w:color="B8860B" w:sz="1"/>
              <w:right w:val="single" w:color="B8860B" w:sz="1"/>
            </w:tcBorders>
            <w:shd w:fill="FFF3CD" w:val="clear"/>
            <w:tcMar>
              <w:top w:type="dxa" w:w="120"/>
              <w:left w:type="dxa" w:w="160"/>
              <w:bottom w:type="dxa" w:w="120"/>
              <w:right w:type="dxa" w:w="160"/>
            </w:tcMar>
          </w:tcPr>
          <w:p>
            <w:pPr>
              <w:spacing w:after="60"/>
            </w:pPr>
            <w:r>
              <w:rPr>
                <w:rFonts w:ascii="Arial" w:cs="Arial" w:eastAsia="Arial" w:hAnsi="Arial"/>
                <w:b/>
                <w:bCs/>
                <w:color w:val="B8860B"/>
                <w:sz w:val="18"/>
                <w:szCs w:val="18"/>
              </w:rPr>
              <w:t xml:space="preserve">ACTIVITY 5.1</w:t>
            </w:r>
          </w:p>
          <w:p>
            <w:pPr>
              <w:spacing w:after="40"/>
            </w:pPr>
            <w:r>
              <w:rPr>
                <w:rFonts w:ascii="Arial" w:cs="Arial" w:eastAsia="Arial" w:hAnsi="Arial"/>
                <w:color w:val="1E1A14"/>
                <w:sz w:val="21"/>
                <w:szCs w:val="21"/>
              </w:rPr>
              <w:t xml:space="preserve">You will see 20 work scenarios, one at a time. Classify each as Tier 1, Tier 2, or Tier 3.</w:t>
            </w:r>
          </w:p>
          <w:p>
            <w:pPr>
              <w:spacing w:after="40"/>
            </w:pPr>
            <w:r>
              <w:rPr>
                <w:rFonts w:ascii="Arial" w:cs="Arial" w:eastAsia="Arial" w:hAnsi="Arial"/>
                <w:color w:val="1E1A14"/>
                <w:sz w:val="21"/>
                <w:szCs w:val="21"/>
              </w:rPr>
              <w:t xml:space="preserve">The goal is speed — in real work you won’t look up the policy. The classification needs to become automatic.</w:t>
            </w:r>
          </w:p>
          <w:p>
            <w:pPr>
              <w:spacing w:after="40"/>
            </w:pPr>
            <w:r>
              <w:rPr>
                <w:rFonts w:ascii="Arial" w:cs="Arial" w:eastAsia="Arial" w:hAnsi="Arial"/>
                <w:color w:val="1E1A14"/>
                <w:sz w:val="21"/>
                <w:szCs w:val="21"/>
              </w:rPr>
              <w:t xml:space="preserve">Examples: “Draft a meeting agenda” · “Summarize a member complaint” · “Research CFPB guidance on overdraft fees” · “Review a loan application for completeness”</w:t>
            </w:r>
          </w:p>
          <w:p>
            <w:pPr>
              <w:spacing w:after="40"/>
            </w:pPr>
            <w:r>
              <w:rPr>
                <w:rFonts w:ascii="Arial" w:cs="Arial" w:eastAsia="Arial" w:hAnsi="Arial"/>
                <w:color w:val="1E1A14"/>
                <w:sz w:val="21"/>
                <w:szCs w:val="21"/>
              </w:rPr>
              <w:t xml:space="preserve">Score shown after completion. Any incorrect classifications show the correct answer with a one-sentence explanation.</w:t>
            </w:r>
          </w:p>
        </w:tc>
      </w:tr>
    </w:tbl>
    <w:p>
      <w:pPr>
        <w:spacing w:after="80"/>
      </w:pPr>
    </w:p>
    <w:p>
      <w:pPr>
        <w:pStyle w:val="Heading3"/>
      </w:pPr>
      <w:r>
        <w:rPr>
          <w:rFonts w:ascii="Arial" w:cs="Arial" w:eastAsia="Arial" w:hAnsi="Arial"/>
          <w:b/>
          <w:bCs/>
          <w:color w:val="1E1A14"/>
          <w:sz w:val="22"/>
          <w:szCs w:val="22"/>
        </w:rPr>
        <w:t xml:space="preserve">Activity 5.2 — Build Your Acceptable Use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741" w:sz="6"/>
              <w:left w:val="single" w:color="4A6741" w:sz="6"/>
              <w:bottom w:val="single" w:color="4A6741" w:sz="1"/>
              <w:right w:val="single" w:color="4A6741" w:sz="1"/>
            </w:tcBorders>
            <w:shd w:fill="EBF5F0" w:val="clear"/>
            <w:tcMar>
              <w:top w:type="dxa" w:w="120"/>
              <w:left w:type="dxa" w:w="160"/>
              <w:bottom w:type="dxa" w:w="120"/>
              <w:right w:type="dxa" w:w="160"/>
            </w:tcMar>
          </w:tcPr>
          <w:p>
            <w:pPr>
              <w:spacing w:after="60"/>
            </w:pPr>
            <w:r>
              <w:rPr>
                <w:rFonts w:ascii="Arial" w:cs="Arial" w:eastAsia="Arial" w:hAnsi="Arial"/>
                <w:b/>
                <w:bCs/>
                <w:color w:val="4A6741"/>
                <w:sz w:val="18"/>
                <w:szCs w:val="18"/>
              </w:rPr>
              <w:t xml:space="preserve">ACTIVITY 5.2</w:t>
            </w:r>
          </w:p>
          <w:p>
            <w:pPr>
              <w:spacing w:after="40"/>
            </w:pPr>
            <w:r>
              <w:rPr>
                <w:rFonts w:ascii="Arial" w:cs="Arial" w:eastAsia="Arial" w:hAnsi="Arial"/>
                <w:color w:val="1E1A14"/>
                <w:sz w:val="21"/>
                <w:szCs w:val="21"/>
              </w:rPr>
              <w:t xml:space="preserve">Create your personal acceptable use reference. This is a one-page artifact you keep and use.</w:t>
            </w:r>
          </w:p>
          <w:p>
            <w:pPr>
              <w:spacing w:after="40"/>
            </w:pPr>
            <w:r>
              <w:rPr>
                <w:rFonts w:ascii="Arial" w:cs="Arial" w:eastAsia="Arial" w:hAnsi="Arial"/>
                <w:color w:val="1E1A14"/>
                <w:sz w:val="21"/>
                <w:szCs w:val="21"/>
              </w:rPr>
              <w:t xml:space="preserve">Answer these four questions for your specific role:</w:t>
            </w:r>
          </w:p>
          <w:p>
            <w:pPr>
              <w:spacing w:after="40"/>
            </w:pPr>
            <w:r>
              <w:rPr>
                <w:rFonts w:ascii="Arial" w:cs="Arial" w:eastAsia="Arial" w:hAnsi="Arial"/>
                <w:color w:val="1E1A14"/>
                <w:sz w:val="21"/>
                <w:szCs w:val="21"/>
              </w:rPr>
              <w:t xml:space="preserve">1. Which AI tools am I currently authorized to use for work tasks?</w:t>
            </w:r>
          </w:p>
          <w:p>
            <w:pPr>
              <w:spacing w:after="40"/>
            </w:pPr>
            <w:r>
              <w:rPr>
                <w:rFonts w:ascii="Arial" w:cs="Arial" w:eastAsia="Arial" w:hAnsi="Arial"/>
                <w:color w:val="1E1A14"/>
                <w:sz w:val="21"/>
                <w:szCs w:val="21"/>
              </w:rPr>
              <w:t xml:space="preserve">2. What data is safe to use with each one (by tier)?</w:t>
            </w:r>
          </w:p>
          <w:p>
            <w:pPr>
              <w:spacing w:after="40"/>
            </w:pPr>
            <w:r>
              <w:rPr>
                <w:rFonts w:ascii="Arial" w:cs="Arial" w:eastAsia="Arial" w:hAnsi="Arial"/>
                <w:color w:val="1E1A14"/>
                <w:sz w:val="21"/>
                <w:szCs w:val="21"/>
              </w:rPr>
              <w:t xml:space="preserve">3. What do I do if I’m not sure whether a task or data type is safe?</w:t>
            </w:r>
          </w:p>
          <w:p>
            <w:pPr>
              <w:spacing w:after="40"/>
            </w:pPr>
            <w:r>
              <w:rPr>
                <w:rFonts w:ascii="Arial" w:cs="Arial" w:eastAsia="Arial" w:hAnsi="Arial"/>
                <w:color w:val="1E1A14"/>
                <w:sz w:val="21"/>
                <w:szCs w:val="21"/>
              </w:rPr>
              <w:t xml:space="preserve">4. Who is my point of contact for questions about AI use policy at my institution?</w:t>
            </w:r>
          </w:p>
          <w:p>
            <w:pPr>
              <w:spacing w:after="40"/>
            </w:pPr>
            <w:r>
              <w:rPr>
                <w:rFonts w:ascii="Arial" w:cs="Arial" w:eastAsia="Arial" w:hAnsi="Arial"/>
                <w:color w:val="1E1A14"/>
                <w:sz w:val="21"/>
                <w:szCs w:val="21"/>
              </w:rPr>
              <w:t xml:space="preserve">Download as PDF when complete.</w:t>
            </w:r>
          </w:p>
        </w:tc>
      </w:tr>
    </w:tbl>
    <w:p>
      <w:pPr>
        <w:spacing w:after="160"/>
      </w:pPr>
    </w:p>
    <w:p>
      <w:r>
        <w:br w:type="page"/>
      </w:r>
    </w:p>
    <w:sectPr>
      <w:headerReference w:type="default" r:id="rId7"/>
      <w:footerReference w:type="default" r:id="rId8"/>
      <w:pgSz w:w="12240" w:h="15840" w:orient="portrait"/>
      <w:pgMar w:top="1440" w:right="1440" w:bottom="1440" w:left="1440" w:header="708" w:footer="708" w:gutter="0"/>
      <w:pgNumType/>
      <w:docGrid w:linePitch="360"/>
    </w:sectPr>
    <w:p>
      <w:r>
        <w:br w:type="page"/>
      </w:r>
    </w:p>
    <w:p>
      <w:r>
        <w:br w:type="page"/>
      </w:r>
    </w:p>
    <w:p>
      <w:pPr>
        <w:pStyle w:val="Heading1"/>
      </w:pPr>
      <w:r>
        <w:rPr>
          <w:rFonts w:ascii="Arial" w:cs="Arial" w:eastAsia="Arial" w:hAnsi="Arial"/>
          <w:b/>
          <w:bCs/>
          <w:color w:val="1E1A14"/>
          <w:sz w:val="32"/>
          <w:szCs w:val="32"/>
        </w:rPr>
        <w:t xml:space="preserve">6. Pillar III — Creation</w:t>
      </w:r>
    </w:p>
    <w:p>
      <w:pPr>
        <w:spacing w:after="120"/>
      </w:pPr>
      <w:r>
        <w:rPr>
          <w:rFonts w:ascii="Arial" w:cs="Arial" w:eastAsia="Arial" w:hAnsi="Arial"/>
          <w:i/>
          <w:iCs/>
          <w:color w:val="6B6355"/>
          <w:sz w:val="22"/>
          <w:szCs w:val="22"/>
        </w:rPr>
        <w:t xml:space="preserve">Three modules. The learner understands what a skill is, writes their first one, and iterates it into something repeatable and shareable.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B8860B" w:val="clear"/>
            <w:tcMar>
              <w:top w:type="dxa" w:w="140"/>
              <w:left w:type="dxa" w:w="140"/>
              <w:bottom w:type="dxa" w:w="140"/>
              <w:right w:type="dxa" w:w="140"/>
            </w:tcMar>
            <w:vAlign w:val="center"/>
          </w:tcPr>
          <w:p>
            <w:pPr>
              <w:jc w:val="center"/>
            </w:pPr>
            <w:r>
              <w:rPr>
                <w:rFonts w:ascii="Arial" w:cs="Arial" w:eastAsia="Arial" w:hAnsi="Arial"/>
                <w:b/>
                <w:bCs/>
                <w:color w:val="FFFFFF"/>
                <w:sz w:val="36"/>
                <w:szCs w:val="36"/>
              </w:rPr>
              <w:t xml:space="preserve">M6</w:t>
            </w:r>
          </w:p>
          <w:p>
            <w:pPr>
              <w:jc w:val="center"/>
            </w:pPr>
            <w:r>
              <w:rPr>
                <w:rFonts w:ascii="Arial" w:cs="Arial" w:eastAsia="Arial" w:hAnsi="Arial"/>
                <w:i/>
                <w:iCs/>
                <w:color w:val="FFFFFF"/>
                <w:sz w:val="14"/>
                <w:szCs w:val="14"/>
              </w:rPr>
              <w:t xml:space="preserve">Creation</w:t>
            </w:r>
          </w:p>
          <w:p>
            <w:pPr>
              <w:jc w:val="center"/>
            </w:pPr>
            <w:r>
              <w:rPr>
                <w:rFonts w:ascii="Arial" w:cs="Arial" w:eastAsia="Arial" w:hAnsi="Arial"/>
                <w:color w:val="FFFFFF"/>
                <w:sz w:val="14"/>
                <w:szCs w:val="14"/>
              </w:rPr>
              <w:t xml:space="preserve">~20 min</w:t>
            </w:r>
          </w:p>
        </w:tc>
        <w:tc>
          <w:tcPr>
            <w:tcW w:type="dxa" w:w="8260"/>
            <w:tcBorders>
              <w:top w:val="none" w:color="FFFFFF" w:sz="0"/>
              <w:left w:val="none" w:color="FFFFFF" w:sz="0"/>
              <w:bottom w:val="none" w:color="FFFFFF" w:sz="0"/>
              <w:right w:val="none" w:color="FFFFFF" w:sz="0"/>
            </w:tcBorders>
            <w:shd w:fill="EDE6D8" w:val="clear"/>
            <w:tcMar>
              <w:top w:type="dxa" w:w="140"/>
              <w:left w:type="dxa" w:w="180"/>
              <w:bottom w:type="dxa" w:w="140"/>
              <w:right w:type="dxa" w:w="140"/>
            </w:tcMar>
          </w:tcPr>
          <w:p>
            <w:pPr>
              <w:spacing w:after="50"/>
            </w:pPr>
            <w:r>
              <w:rPr>
                <w:rFonts w:ascii="Arial" w:cs="Arial" w:eastAsia="Arial" w:hAnsi="Arial"/>
                <w:b/>
                <w:bCs/>
                <w:color w:val="1E1A14"/>
                <w:sz w:val="28"/>
                <w:szCs w:val="28"/>
              </w:rPr>
              <w:t xml:space="preserve">Anatomy of a Skill</w:t>
            </w:r>
          </w:p>
          <w:p>
            <w:pPr>
              <w:spacing w:after="0"/>
            </w:pPr>
            <w:r>
              <w:rPr>
                <w:rFonts w:ascii="Arial" w:cs="Arial" w:eastAsia="Arial" w:hAnsi="Arial"/>
                <w:i/>
                <w:iCs/>
                <w:color w:val="6B6355"/>
                <w:sz w:val="21"/>
                <w:szCs w:val="21"/>
              </w:rPr>
              <w:t xml:space="preserve">Learning goal: The learner can explain what a skill is, why skills are cross-platform, and what makes a good skill versus a mediocre one.</w:t>
            </w:r>
          </w:p>
        </w:tc>
      </w:tr>
    </w:tbl>
    <w:p>
      <w:pPr>
        <w:spacing w:after="80"/>
      </w:pPr>
    </w:p>
    <w:p>
      <w:pPr>
        <w:pStyle w:val="Heading3"/>
      </w:pPr>
      <w:r>
        <w:rPr>
          <w:rFonts w:ascii="Arial" w:cs="Arial" w:eastAsia="Arial" w:hAnsi="Arial"/>
          <w:b/>
          <w:bCs/>
          <w:color w:val="1E1A14"/>
          <w:sz w:val="22"/>
          <w:szCs w:val="22"/>
        </w:rPr>
        <w:t xml:space="preserve">Why This Module Exists</w:t>
      </w:r>
    </w:p>
    <w:p>
      <w:pPr>
        <w:spacing w:after="120"/>
      </w:pPr>
      <w:r>
        <w:rPr>
          <w:rFonts w:ascii="Arial" w:cs="Arial" w:eastAsia="Arial" w:hAnsi="Arial"/>
          <w:i w:val="false"/>
          <w:iCs w:val="false"/>
          <w:color w:val="6B6355"/>
          <w:sz w:val="22"/>
          <w:szCs w:val="22"/>
        </w:rPr>
        <w:t xml:space="preserve">The difference between a banker who is “good at prompting” and a banker who has automated something is a skill. A skill is a saved, structured set of instructions that tells an AI tool exactly how to behave for a specific recurring task. It is not a clever trick. It is a repeatable professional asset.</w:t>
      </w:r>
    </w:p>
    <w:p>
      <w:pPr>
        <w:spacing w:after="80"/>
      </w:pPr>
    </w:p>
    <w:p>
      <w:pPr>
        <w:spacing w:after="120"/>
      </w:pPr>
      <w:r>
        <w:rPr>
          <w:rFonts w:ascii="Arial" w:cs="Arial" w:eastAsia="Arial" w:hAnsi="Arial"/>
          <w:i w:val="false"/>
          <w:iCs w:val="false"/>
          <w:color w:val="6B6355"/>
          <w:sz w:val="22"/>
          <w:szCs w:val="22"/>
        </w:rPr>
        <w:t xml:space="preserve">This module installs the mental model before the learner writes anything. A skill written without understanding the anatomy will need to be rewritten. A skill written with it will work the first or second time.</w:t>
      </w:r>
    </w:p>
    <w:p>
      <w:pPr>
        <w:spacing w:after="160"/>
      </w:pPr>
    </w:p>
    <w:p>
      <w:pPr>
        <w:pStyle w:val="Heading3"/>
      </w:pPr>
      <w:r>
        <w:rPr>
          <w:rFonts w:ascii="Arial" w:cs="Arial" w:eastAsia="Arial" w:hAnsi="Arial"/>
          <w:b/>
          <w:bCs/>
          <w:color w:val="1E1A14"/>
          <w:sz w:val="22"/>
          <w:szCs w:val="22"/>
        </w:rPr>
        <w:t xml:space="preserve">What a Skill Actually Is</w:t>
      </w:r>
    </w:p>
    <w:p>
      <w:pPr>
        <w:spacing w:after="120"/>
      </w:pPr>
      <w:r>
        <w:rPr>
          <w:rFonts w:ascii="Arial" w:cs="Arial" w:eastAsia="Arial" w:hAnsi="Arial"/>
          <w:b/>
          <w:bCs/>
          <w:color w:val="1E1A14"/>
          <w:sz w:val="22"/>
          <w:szCs w:val="22"/>
        </w:rPr>
        <w:t xml:space="preserve">One definition, three ways to think about it</w:t>
      </w:r>
    </w:p>
    <w:p>
      <w:pPr>
        <w:spacing w:after="120"/>
      </w:pPr>
      <w:r>
        <w:rPr>
          <w:rFonts w:ascii="Arial" w:cs="Arial" w:eastAsia="Arial" w:hAnsi="Arial"/>
          <w:i w:val="false"/>
          <w:iCs w:val="false"/>
          <w:color w:val="6B6355"/>
          <w:sz w:val="22"/>
          <w:szCs w:val="22"/>
        </w:rPr>
        <w:t xml:space="preserve">Definition: A skill is a saved set of instructions that tells an AI tool how to behave for a specific recurring task. It is set once. It runs every time. It produces consistent, professional output without re-prompting from scratch.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Mental Model</w:t>
            </w:r>
          </w:p>
        </w:tc>
        <w:tc>
          <w:tcPr>
            <w:tcW w:type="dxa" w:w="38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Plain Language</w:t>
            </w:r>
          </w:p>
        </w:tc>
        <w:tc>
          <w:tcPr>
            <w:tcW w:type="dxa" w:w="356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Why It Matters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A standing order</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Like a standing order at a bank — you set it up once, it executes automatically. “Every time someone submits a loan application, run this checklist.”</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You stop re-explaining the task every time. The skill carries the context.</w:t>
            </w:r>
          </w:p>
        </w:tc>
      </w:tr>
      <w:tr>
        <w:tc>
          <w:tcPr>
            <w:tcW w:type="dxa" w:w="20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A trained colleague</w:t>
            </w:r>
          </w:p>
        </w:tc>
        <w:tc>
          <w:tcPr>
            <w:tcW w:type="dxa" w:w="38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Like training a very fast new colleague. You explain exactly how you want something done. They do it that way every time.</w:t>
            </w:r>
          </w:p>
        </w:tc>
        <w:tc>
          <w:tcPr>
            <w:tcW w:type="dxa" w:w="35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Consistency. The output from your skill looks the same on Monday as on Friday.</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A reusable template, but smarter</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Like a Word template, but the template understands context and adapts the output to the specific content you give it.</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A template produces a blank form. A skill produces a completed, contextual output.</w:t>
            </w:r>
          </w:p>
        </w:tc>
      </w:tr>
    </w:tbl>
    <w:p>
      <w:pPr>
        <w:spacing w:after="160"/>
      </w:pPr>
    </w:p>
    <w:p>
      <w:pPr>
        <w:pStyle w:val="Heading3"/>
      </w:pPr>
      <w:r>
        <w:rPr>
          <w:rFonts w:ascii="Arial" w:cs="Arial" w:eastAsia="Arial" w:hAnsi="Arial"/>
          <w:b/>
          <w:bCs/>
          <w:color w:val="1E1A14"/>
          <w:sz w:val="22"/>
          <w:szCs w:val="22"/>
        </w:rPr>
        <w:t xml:space="preserve">Skills Are Cross-Platform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741" w:sz="6"/>
              <w:left w:val="single" w:color="4A6741" w:sz="6"/>
              <w:bottom w:val="single" w:color="4A6741" w:sz="1"/>
              <w:right w:val="single" w:color="4A6741" w:sz="1"/>
            </w:tcBorders>
            <w:shd w:fill="EBF5F0" w:val="clear"/>
            <w:tcMar>
              <w:top w:type="dxa" w:w="120"/>
              <w:left w:type="dxa" w:w="160"/>
              <w:bottom w:type="dxa" w:w="120"/>
              <w:right w:type="dxa" w:w="160"/>
            </w:tcMar>
          </w:tcPr>
          <w:p>
            <w:pPr>
              <w:spacing w:after="60"/>
            </w:pPr>
            <w:r>
              <w:rPr>
                <w:rFonts w:ascii="Arial" w:cs="Arial" w:eastAsia="Arial" w:hAnsi="Arial"/>
                <w:b/>
                <w:bCs/>
                <w:color w:val="4A6741"/>
                <w:sz w:val="18"/>
                <w:szCs w:val="18"/>
              </w:rPr>
              <w:t xml:space="preserve">A SKILL IS A TEXT FILE, NOT A FEATURE</w:t>
            </w:r>
          </w:p>
          <w:p>
            <w:pPr>
              <w:spacing w:after="40"/>
            </w:pPr>
            <w:r>
              <w:rPr>
                <w:rFonts w:ascii="Arial" w:cs="Arial" w:eastAsia="Arial" w:hAnsi="Arial"/>
                <w:color w:val="1E1A14"/>
                <w:sz w:val="21"/>
                <w:szCs w:val="21"/>
              </w:rPr>
              <w:t xml:space="preserve">A skill is instructions written in plain language. Those instructions work in Claude, in ChatGPT, in Copilot, and in Gemini.</w:t>
            </w:r>
          </w:p>
          <w:p>
            <w:pPr>
              <w:spacing w:after="40"/>
            </w:pPr>
            <w:r>
              <w:rPr>
                <w:rFonts w:ascii="Arial" w:cs="Arial" w:eastAsia="Arial" w:hAnsi="Arial"/>
                <w:color w:val="1E1A14"/>
                <w:sz w:val="21"/>
                <w:szCs w:val="21"/>
              </w:rPr>
              <w:t xml:space="preserve">The structure is the same across platforms. The file format is the same. A skill you write for Claude will work in ChatGPT with minor adjustments — and vice versa.</w:t>
            </w:r>
          </w:p>
          <w:p>
            <w:pPr>
              <w:spacing w:after="40"/>
            </w:pPr>
            <w:r>
              <w:rPr>
                <w:rFonts w:ascii="Arial" w:cs="Arial" w:eastAsia="Arial" w:hAnsi="Arial"/>
                <w:color w:val="1E1A14"/>
                <w:sz w:val="21"/>
                <w:szCs w:val="21"/>
              </w:rPr>
              <w:t xml:space="preserve">This matters because your institution may change tools. Your skills travel with you.</w:t>
            </w:r>
          </w:p>
          <w:p>
            <w:pPr>
              <w:spacing w:after="40"/>
            </w:pPr>
            <w:r>
              <w:rPr>
                <w:rFonts w:ascii="Arial" w:cs="Arial" w:eastAsia="Arial" w:hAnsi="Arial"/>
                <w:color w:val="1E1A14"/>
                <w:sz w:val="21"/>
                <w:szCs w:val="21"/>
              </w:rPr>
              <w:t xml:space="preserve">The practical format for a portable skill is a Markdown file (.md). It can be saved, shared via email or Teams, and pasted into any platform’s custom instructions field. One file. Any tool.</w:t>
            </w:r>
          </w:p>
        </w:tc>
      </w:tr>
    </w:tbl>
    <w:p>
      <w:pPr>
        <w:spacing w:after="160"/>
      </w:pPr>
    </w:p>
    <w:p>
      <w:pPr>
        <w:pStyle w:val="Heading3"/>
      </w:pPr>
      <w:r>
        <w:rPr>
          <w:rFonts w:ascii="Arial" w:cs="Arial" w:eastAsia="Arial" w:hAnsi="Arial"/>
          <w:b/>
          <w:bCs/>
          <w:color w:val="1E1A14"/>
          <w:sz w:val="22"/>
          <w:szCs w:val="22"/>
        </w:rPr>
        <w:t xml:space="preserve">Where Skills Live in Each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rPr>
          <w:tblHeader/>
        </w:trPr>
        <w:tc>
          <w:tcPr>
            <w:tcW w:type="dxa" w:w="16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Platform</w:t>
            </w:r>
          </w:p>
        </w:tc>
        <w:tc>
          <w:tcPr>
            <w:tcW w:type="dxa" w:w="34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Where to Save a Skill</w:t>
            </w:r>
          </w:p>
        </w:tc>
        <w:tc>
          <w:tcPr>
            <w:tcW w:type="dxa" w:w="436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How to Access It</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ChatGPT</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Settings → Personalization → Custom Instructions. Or create a GPT (paid tier).</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Custom instructions apply to every conversation. A GPT is a named tool you open by name.</w:t>
            </w:r>
          </w:p>
        </w:tc>
      </w:tr>
      <w:tr>
        <w:tc>
          <w:tcPr>
            <w:tcW w:type="dxa" w:w="16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Claude</w:t>
            </w:r>
          </w:p>
        </w:tc>
        <w:tc>
          <w:tcPr>
            <w:tcW w:type="dxa" w:w="34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Projects → Create Project → Project Instructions. Or start any conversation with a system prompt.</w:t>
            </w:r>
          </w:p>
        </w:tc>
        <w:tc>
          <w:tcPr>
            <w:tcW w:type="dxa" w:w="43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Projects persist your skill instructions across all conversations in that project.</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Microsoft Copilot</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Custom instructions in Copilot settings. In M365 Copilot: use Copilot Studio for more robust deployment.</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Instructions apply to your conversations. Copilot Studio allows team-level deployment.</w:t>
            </w:r>
          </w:p>
        </w:tc>
      </w:tr>
      <w:tr>
        <w:tc>
          <w:tcPr>
            <w:tcW w:type="dxa" w:w="16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Gemini</w:t>
            </w:r>
          </w:p>
        </w:tc>
        <w:tc>
          <w:tcPr>
            <w:tcW w:type="dxa" w:w="34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Custom instructions in Gemini Advanced settings. Google Workspace: Gems (custom AI experts).</w:t>
            </w:r>
          </w:p>
        </w:tc>
        <w:tc>
          <w:tcPr>
            <w:tcW w:type="dxa" w:w="43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Gems are named, saved AI tools with their own instruction sets.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Perplexity</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Saved prompts in profile settings (Pro tier).</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Accessible from the prompt library in your account.</w:t>
            </w:r>
          </w:p>
        </w:tc>
      </w:tr>
    </w:tbl>
    <w:p>
      <w:pPr>
        <w:spacing w:after="160"/>
      </w:pPr>
    </w:p>
    <w:p>
      <w:pPr>
        <w:pStyle w:val="Heading3"/>
      </w:pPr>
      <w:r>
        <w:rPr>
          <w:rFonts w:ascii="Arial" w:cs="Arial" w:eastAsia="Arial" w:hAnsi="Arial"/>
          <w:b/>
          <w:bCs/>
          <w:color w:val="1E1A14"/>
          <w:sz w:val="22"/>
          <w:szCs w:val="22"/>
        </w:rPr>
        <w:t xml:space="preserve">The Anatomy of a Good Skill</w:t>
      </w:r>
    </w:p>
    <w:p>
      <w:pPr>
        <w:spacing w:after="120"/>
      </w:pPr>
      <w:r>
        <w:rPr>
          <w:rFonts w:ascii="Arial" w:cs="Arial" w:eastAsia="Arial" w:hAnsi="Arial"/>
          <w:i w:val="false"/>
          <w:iCs w:val="false"/>
          <w:color w:val="6B6355"/>
          <w:sz w:val="22"/>
          <w:szCs w:val="22"/>
        </w:rPr>
        <w:t xml:space="preserve">Every effective skill has five components. Not all five need to be long — but all five need to be present.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3960"/>
      </w:tblGrid>
      <w:tr>
        <w:trPr>
          <w:tblHeader/>
        </w:trPr>
        <w:tc>
          <w:tcPr>
            <w:tcW w:type="dxa" w:w="14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Component</w:t>
            </w:r>
          </w:p>
        </w:tc>
        <w:tc>
          <w:tcPr>
            <w:tcW w:type="dxa" w:w="20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What It Does</w:t>
            </w:r>
          </w:p>
        </w:tc>
        <w:tc>
          <w:tcPr>
            <w:tcW w:type="dxa" w:w="20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What Bad Looks Like</w:t>
            </w:r>
          </w:p>
        </w:tc>
        <w:tc>
          <w:tcPr>
            <w:tcW w:type="dxa" w:w="396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What Good Looks Like</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Role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Sets the professional identity and expertise level of the AI for this task</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(Missing) — AI defaults to generalist voice</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You are a compliance analyst at a community bank with deep knowledge of BSA/AML requirements.</w:t>
            </w:r>
          </w:p>
        </w:tc>
      </w:tr>
      <w:tr>
        <w:tc>
          <w:tcPr>
            <w:tcW w:type="dxa" w:w="14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Context</w:t>
            </w:r>
          </w:p>
        </w:tc>
        <w:tc>
          <w:tcPr>
            <w:tcW w:type="dxa" w:w="20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Provides the standing institutional and task context</w:t>
            </w:r>
          </w:p>
        </w:tc>
        <w:tc>
          <w:tcPr>
            <w:tcW w:type="dxa" w:w="20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(Missing) — AI has no frame of reference</w:t>
            </w:r>
          </w:p>
        </w:tc>
        <w:tc>
          <w:tcPr>
            <w:tcW w:type="dxa" w:w="39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Our institution is an FDIC-insured community bank with $350M in assets. Our BSA program follows a risk-based approach.</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Task</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States precisely what the skill does when activated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Help me with BSA stuff</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When I provide a transaction description, analyze it for potential suspicious activity indicators and draft a preliminary SAR narrative section.</w:t>
            </w:r>
          </w:p>
        </w:tc>
      </w:tr>
      <w:tr>
        <w:tc>
          <w:tcPr>
            <w:tcW w:type="dxa" w:w="14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Format</w:t>
            </w:r>
          </w:p>
        </w:tc>
        <w:tc>
          <w:tcPr>
            <w:tcW w:type="dxa" w:w="20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Specifies the exact output structure</w:t>
            </w:r>
          </w:p>
        </w:tc>
        <w:tc>
          <w:tcPr>
            <w:tcW w:type="dxa" w:w="20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(Missing) — AI formats however it wants</w:t>
            </w:r>
          </w:p>
        </w:tc>
        <w:tc>
          <w:tcPr>
            <w:tcW w:type="dxa" w:w="39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Output in three sections: (1) Suspicious Indicators Identified (bulleted), (2) Preliminary Narrative (150–200 words), (3) Items Requiring BSA Officer Review (bulleted, each prefixed [REVIEW REQUIRED]).</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Constraints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States what the skill must NOT do</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(Missing) — no guardrails</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Do not draw legal conclusions. Do not cite specific statutory violations. Flag every regulatory citation with [VERIFY] before it appears in a filed SAR. Do not include member PII in any output.</w:t>
            </w:r>
          </w:p>
        </w:tc>
      </w:tr>
    </w:tbl>
    <w:p>
      <w:pPr>
        <w:spacing w:after="160"/>
      </w:pPr>
    </w:p>
    <w:p>
      <w:pPr>
        <w:pStyle w:val="Heading3"/>
      </w:pPr>
      <w:r>
        <w:rPr>
          <w:rFonts w:ascii="Arial" w:cs="Arial" w:eastAsia="Arial" w:hAnsi="Arial"/>
          <w:b/>
          <w:bCs/>
          <w:color w:val="1E1A14"/>
          <w:sz w:val="22"/>
          <w:szCs w:val="22"/>
        </w:rPr>
        <w:t xml:space="preserve">Good Skills vs. Mediocre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rPr>
          <w:tblHeader/>
        </w:trPr>
        <w:tc>
          <w:tcPr>
            <w:tcW w:type="dxa" w:w="16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Dimension</w:t>
            </w:r>
          </w:p>
        </w:tc>
        <w:tc>
          <w:tcPr>
            <w:tcW w:type="dxa" w:w="36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Mediocre Skill</w:t>
            </w:r>
          </w:p>
        </w:tc>
        <w:tc>
          <w:tcPr>
            <w:tcW w:type="dxa" w:w="416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Good Skill</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Specificity</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Broad and generic. Could apply to anyone at any institution.</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Specific to a role, institution type, and recurring task.</w:t>
            </w:r>
          </w:p>
        </w:tc>
      </w:tr>
      <w:tr>
        <w:tc>
          <w:tcPr>
            <w:tcW w:type="dxa" w:w="16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Constraints</w:t>
            </w:r>
          </w:p>
        </w:tc>
        <w:tc>
          <w:tcPr>
            <w:tcW w:type="dxa" w:w="36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None or vague (“be professional”).</w:t>
            </w:r>
          </w:p>
        </w:tc>
        <w:tc>
          <w:tcPr>
            <w:tcW w:type="dxa" w:w="41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Explicit guardrails that prevent the specific failure modes relevant to this task.</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Output format</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Unspecified. AI chooses.</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Precisely defined. The output is ready to use, not ready to reformat.</w:t>
            </w:r>
          </w:p>
        </w:tc>
      </w:tr>
      <w:tr>
        <w:tc>
          <w:tcPr>
            <w:tcW w:type="dxa" w:w="16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Context</w:t>
            </w:r>
          </w:p>
        </w:tc>
        <w:tc>
          <w:tcPr>
            <w:tcW w:type="dxa" w:w="36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Minimal. AI guesses at setting.</w:t>
            </w:r>
          </w:p>
        </w:tc>
        <w:tc>
          <w:tcPr>
            <w:tcW w:type="dxa" w:w="41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Enough institutional context that the output sounds like it came from your institution.</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Portability</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Platform-specific. Breaks on other tools.</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Written in plain language. Works on any platform with minor adjustments.</w:t>
            </w:r>
          </w:p>
        </w:tc>
      </w:tr>
      <w:tr>
        <w:tc>
          <w:tcPr>
            <w:tcW w:type="dxa" w:w="16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Maintainability</w:t>
            </w:r>
          </w:p>
        </w:tc>
        <w:tc>
          <w:tcPr>
            <w:tcW w:type="dxa" w:w="36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Long, complex, hard to update.</w:t>
            </w:r>
          </w:p>
        </w:tc>
        <w:tc>
          <w:tcPr>
            <w:tcW w:type="dxa" w:w="41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Modular. Can be updated one section at a time as needs change.</w:t>
            </w:r>
          </w:p>
        </w:tc>
      </w:tr>
    </w:tbl>
    <w:p>
      <w:pPr>
        <w:spacing w:after="80"/>
      </w:pPr>
    </w:p>
    <w:p>
      <w:pPr>
        <w:pStyle w:val="Heading3"/>
      </w:pPr>
      <w:r>
        <w:rPr>
          <w:rFonts w:ascii="Arial" w:cs="Arial" w:eastAsia="Arial" w:hAnsi="Arial"/>
          <w:b/>
          <w:bCs/>
          <w:color w:val="1E1A14"/>
          <w:sz w:val="22"/>
          <w:szCs w:val="22"/>
        </w:rPr>
        <w:t xml:space="preserve">Activity 6.1 — Skill Anatomy Diagnosis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741" w:sz="6"/>
              <w:left w:val="single" w:color="4A6741" w:sz="6"/>
              <w:bottom w:val="single" w:color="4A6741" w:sz="1"/>
              <w:right w:val="single" w:color="4A6741" w:sz="1"/>
            </w:tcBorders>
            <w:shd w:fill="EBF5F0" w:val="clear"/>
            <w:tcMar>
              <w:top w:type="dxa" w:w="120"/>
              <w:left w:type="dxa" w:w="160"/>
              <w:bottom w:type="dxa" w:w="120"/>
              <w:right w:type="dxa" w:w="160"/>
            </w:tcMar>
          </w:tcPr>
          <w:p>
            <w:pPr>
              <w:spacing w:after="60"/>
            </w:pPr>
            <w:r>
              <w:rPr>
                <w:rFonts w:ascii="Arial" w:cs="Arial" w:eastAsia="Arial" w:hAnsi="Arial"/>
                <w:b/>
                <w:bCs/>
                <w:color w:val="4A6741"/>
                <w:sz w:val="18"/>
                <w:szCs w:val="18"/>
              </w:rPr>
              <w:t xml:space="preserve">ACTIVITY 6.1</w:t>
            </w:r>
          </w:p>
          <w:p>
            <w:pPr>
              <w:spacing w:after="40"/>
            </w:pPr>
            <w:r>
              <w:rPr>
                <w:rFonts w:ascii="Arial" w:cs="Arial" w:eastAsia="Arial" w:hAnsi="Arial"/>
                <w:color w:val="1E1A14"/>
                <w:sz w:val="21"/>
                <w:szCs w:val="21"/>
              </w:rPr>
              <w:t xml:space="preserve">You will see three skill examples: one poor, one mediocre, one strong. For each one, identify which of the five components (Role, Context, Task, Format, Constraint) are present, which are missing, and what the impact of each gap would be on the output quality.</w:t>
            </w:r>
          </w:p>
          <w:p>
            <w:pPr>
              <w:spacing w:after="40"/>
            </w:pPr>
            <w:r>
              <w:rPr>
                <w:rFonts w:ascii="Arial" w:cs="Arial" w:eastAsia="Arial" w:hAnsi="Arial"/>
                <w:color w:val="1E1A14"/>
                <w:sz w:val="21"/>
                <w:szCs w:val="21"/>
              </w:rPr>
              <w:t xml:space="preserve">This is not a writing exercise — it is a diagnosis exercise. The goal is to train your eye to spot what is missing before you start writing.</w:t>
            </w:r>
          </w:p>
          <w:p>
            <w:pPr>
              <w:spacing w:after="40"/>
            </w:pPr>
            <w:r>
              <w:rPr>
                <w:rFonts w:ascii="Arial" w:cs="Arial" w:eastAsia="Arial" w:hAnsi="Arial"/>
                <w:color w:val="1E1A14"/>
                <w:sz w:val="21"/>
                <w:szCs w:val="21"/>
              </w:rPr>
              <w:t xml:space="preserve">After completing all three: write in one sentence what the single most important component is for your specific role and why.</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B8860B" w:val="clear"/>
            <w:tcMar>
              <w:top w:type="dxa" w:w="140"/>
              <w:left w:type="dxa" w:w="140"/>
              <w:bottom w:type="dxa" w:w="140"/>
              <w:right w:type="dxa" w:w="140"/>
            </w:tcMar>
            <w:vAlign w:val="center"/>
          </w:tcPr>
          <w:p>
            <w:pPr>
              <w:jc w:val="center"/>
            </w:pPr>
            <w:r>
              <w:rPr>
                <w:rFonts w:ascii="Arial" w:cs="Arial" w:eastAsia="Arial" w:hAnsi="Arial"/>
                <w:b/>
                <w:bCs/>
                <w:color w:val="FFFFFF"/>
                <w:sz w:val="36"/>
                <w:szCs w:val="36"/>
              </w:rPr>
              <w:t xml:space="preserve">M7</w:t>
            </w:r>
          </w:p>
          <w:p>
            <w:pPr>
              <w:jc w:val="center"/>
            </w:pPr>
            <w:r>
              <w:rPr>
                <w:rFonts w:ascii="Arial" w:cs="Arial" w:eastAsia="Arial" w:hAnsi="Arial"/>
                <w:i/>
                <w:iCs/>
                <w:color w:val="FFFFFF"/>
                <w:sz w:val="14"/>
                <w:szCs w:val="14"/>
              </w:rPr>
              <w:t xml:space="preserve">Creation</w:t>
            </w:r>
          </w:p>
          <w:p>
            <w:pPr>
              <w:jc w:val="center"/>
            </w:pPr>
            <w:r>
              <w:rPr>
                <w:rFonts w:ascii="Arial" w:cs="Arial" w:eastAsia="Arial" w:hAnsi="Arial"/>
                <w:color w:val="FFFFFF"/>
                <w:sz w:val="14"/>
                <w:szCs w:val="14"/>
              </w:rPr>
              <w:t xml:space="preserve">~30 min</w:t>
            </w:r>
          </w:p>
        </w:tc>
        <w:tc>
          <w:tcPr>
            <w:tcW w:type="dxa" w:w="8260"/>
            <w:tcBorders>
              <w:top w:val="none" w:color="FFFFFF" w:sz="0"/>
              <w:left w:val="none" w:color="FFFFFF" w:sz="0"/>
              <w:bottom w:val="none" w:color="FFFFFF" w:sz="0"/>
              <w:right w:val="none" w:color="FFFFFF" w:sz="0"/>
            </w:tcBorders>
            <w:shd w:fill="EDE6D8" w:val="clear"/>
            <w:tcMar>
              <w:top w:type="dxa" w:w="140"/>
              <w:left w:type="dxa" w:w="180"/>
              <w:bottom w:type="dxa" w:w="140"/>
              <w:right w:type="dxa" w:w="140"/>
            </w:tcMar>
          </w:tcPr>
          <w:p>
            <w:pPr>
              <w:spacing w:after="50"/>
            </w:pPr>
            <w:r>
              <w:rPr>
                <w:rFonts w:ascii="Arial" w:cs="Arial" w:eastAsia="Arial" w:hAnsi="Arial"/>
                <w:b/>
                <w:bCs/>
                <w:color w:val="1E1A14"/>
                <w:sz w:val="28"/>
                <w:szCs w:val="28"/>
              </w:rPr>
              <w:t xml:space="preserve">Write Your First Skill</w:t>
            </w:r>
          </w:p>
          <w:p>
            <w:pPr>
              <w:spacing w:after="0"/>
            </w:pPr>
            <w:r>
              <w:rPr>
                <w:rFonts w:ascii="Arial" w:cs="Arial" w:eastAsia="Arial" w:hAnsi="Arial"/>
                <w:i/>
                <w:iCs/>
                <w:color w:val="6B6355"/>
                <w:sz w:val="21"/>
                <w:szCs w:val="21"/>
              </w:rPr>
              <w:t xml:space="preserve">Learning goal: The learner has written, saved, and run a complete skill for a real recurring task from their own job.</w:t>
            </w:r>
          </w:p>
        </w:tc>
      </w:tr>
    </w:tbl>
    <w:p>
      <w:pPr>
        <w:spacing w:after="80"/>
      </w:pPr>
    </w:p>
    <w:p>
      <w:pPr>
        <w:pStyle w:val="Heading3"/>
      </w:pPr>
      <w:r>
        <w:rPr>
          <w:rFonts w:ascii="Arial" w:cs="Arial" w:eastAsia="Arial" w:hAnsi="Arial"/>
          <w:b/>
          <w:bCs/>
          <w:color w:val="1E1A14"/>
          <w:sz w:val="22"/>
          <w:szCs w:val="22"/>
        </w:rPr>
        <w:t xml:space="preserve">The RTFC Framework Extended for Skills</w:t>
      </w:r>
    </w:p>
    <w:p>
      <w:pPr>
        <w:spacing w:after="120"/>
      </w:pPr>
      <w:r>
        <w:rPr>
          <w:rFonts w:ascii="Arial" w:cs="Arial" w:eastAsia="Arial" w:hAnsi="Arial"/>
          <w:i w:val="false"/>
          <w:iCs w:val="false"/>
          <w:color w:val="6B6355"/>
          <w:sz w:val="22"/>
          <w:szCs w:val="22"/>
        </w:rPr>
        <w:t xml:space="preserve">The RTFC framework (Role, Task, Format, Constraint) is the foundation of good prompting and the scaffolding for writing a skill. In Module 7, RTFC expands to include Context, producing the full five-component skill architecture from Module 6.</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800"/>
        <w:gridCol w:w="3360"/>
      </w:tblGrid>
      <w:tr>
        <w:trPr>
          <w:tblHeader/>
        </w:trPr>
        <w:tc>
          <w:tcPr>
            <w:tcW w:type="dxa" w:w="12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RTFC Element</w:t>
            </w:r>
          </w:p>
        </w:tc>
        <w:tc>
          <w:tcPr>
            <w:tcW w:type="dxa" w:w="20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Prompt Use</w:t>
            </w:r>
          </w:p>
        </w:tc>
        <w:tc>
          <w:tcPr>
            <w:tcW w:type="dxa" w:w="28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Skill Use</w:t>
            </w:r>
          </w:p>
        </w:tc>
        <w:tc>
          <w:tcPr>
            <w:tcW w:type="dxa" w:w="336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Key Question</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Role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Set once per prompt: who is the AI for this task?</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Permanent. Defines the AI’s professional identity for every use of this skill.</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What expertise and perspective does the AI need to produce this output at a professional level?</w:t>
            </w:r>
          </w:p>
        </w:tc>
      </w:tr>
      <w:tr>
        <w:tc>
          <w:tcPr>
            <w:tcW w:type="dxa" w:w="12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Task</w:t>
            </w:r>
          </w:p>
        </w:tc>
        <w:tc>
          <w:tcPr>
            <w:tcW w:type="dxa" w:w="20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Describe the specific thing you want done right now.</w:t>
            </w:r>
          </w:p>
        </w:tc>
        <w:tc>
          <w:tcPr>
            <w:tcW w:type="dxa" w:w="28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Describe the class of recurring tasks this skill handles, not a specific instance.</w:t>
            </w:r>
          </w:p>
        </w:tc>
        <w:tc>
          <w:tcPr>
            <w:tcW w:type="dxa" w:w="33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What is the recurring task this skill will run every time it is activated?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Format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Specify the output structure for this specific prompt.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Define the standard output format that should apply every time.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What should the output look like every time — headings, sections, length, tables?</w:t>
            </w:r>
          </w:p>
        </w:tc>
      </w:tr>
      <w:tr>
        <w:tc>
          <w:tcPr>
            <w:tcW w:type="dxa" w:w="12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Constraint</w:t>
            </w:r>
          </w:p>
        </w:tc>
        <w:tc>
          <w:tcPr>
            <w:tcW w:type="dxa" w:w="20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State what this prompt must not do.</w:t>
            </w:r>
          </w:p>
        </w:tc>
        <w:tc>
          <w:tcPr>
            <w:tcW w:type="dxa" w:w="28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State what this skill must never do — the guardrails that make it safe to run repeatedly.</w:t>
            </w:r>
          </w:p>
        </w:tc>
        <w:tc>
          <w:tcPr>
            <w:tcW w:type="dxa" w:w="33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What are the specific failure modes for this task that must be prevented?</w:t>
            </w:r>
          </w:p>
        </w:tc>
      </w:tr>
    </w:tbl>
    <w:p>
      <w:pPr>
        <w:spacing w:after="160"/>
      </w:pPr>
    </w:p>
    <w:p>
      <w:pPr>
        <w:pStyle w:val="Heading3"/>
      </w:pPr>
      <w:r>
        <w:rPr>
          <w:rFonts w:ascii="Arial" w:cs="Arial" w:eastAsia="Arial" w:hAnsi="Arial"/>
          <w:b/>
          <w:bCs/>
          <w:color w:val="1E1A14"/>
          <w:sz w:val="22"/>
          <w:szCs w:val="22"/>
        </w:rPr>
        <w:t xml:space="preserve">The Skill Writing Sequence</w:t>
      </w:r>
    </w:p>
    <w:p>
      <w:pPr>
        <w:pStyle w:val="ListParagraph"/>
        <w:numPr>
          <w:ilvl w:val="0"/>
          <w:numId w:val="2"/>
        </w:numPr>
        <w:spacing w:after="80"/>
      </w:pPr>
      <w:r>
        <w:rPr>
          <w:rFonts w:ascii="Arial" w:cs="Arial" w:eastAsia="Arial" w:hAnsi="Arial"/>
          <w:color w:val="6B6355"/>
          <w:sz w:val="22"/>
          <w:szCs w:val="22"/>
        </w:rPr>
        <w:t xml:space="preserve">Identify the recurring task. What do you do repeatedly that takes time and follows a consistent pattern?</w:t>
      </w:r>
    </w:p>
    <w:p>
      <w:pPr>
        <w:pStyle w:val="ListParagraph"/>
        <w:numPr>
          <w:ilvl w:val="0"/>
          <w:numId w:val="2"/>
        </w:numPr>
        <w:spacing w:after="80"/>
      </w:pPr>
      <w:r>
        <w:rPr>
          <w:rFonts w:ascii="Arial" w:cs="Arial" w:eastAsia="Arial" w:hAnsi="Arial"/>
          <w:color w:val="6B6355"/>
          <w:sz w:val="22"/>
          <w:szCs w:val="22"/>
        </w:rPr>
        <w:t xml:space="preserve">Draft the Role. What expertise does the AI need for this task?</w:t>
      </w:r>
    </w:p>
    <w:p>
      <w:pPr>
        <w:pStyle w:val="ListParagraph"/>
        <w:numPr>
          <w:ilvl w:val="0"/>
          <w:numId w:val="2"/>
        </w:numPr>
        <w:spacing w:after="80"/>
      </w:pPr>
      <w:r>
        <w:rPr>
          <w:rFonts w:ascii="Arial" w:cs="Arial" w:eastAsia="Arial" w:hAnsi="Arial"/>
          <w:color w:val="6B6355"/>
          <w:sz w:val="22"/>
          <w:szCs w:val="22"/>
        </w:rPr>
        <w:t xml:space="preserve">Draft the Context. What institutional background does the AI need to produce relevant output?</w:t>
      </w:r>
    </w:p>
    <w:p>
      <w:pPr>
        <w:pStyle w:val="ListParagraph"/>
        <w:numPr>
          <w:ilvl w:val="0"/>
          <w:numId w:val="2"/>
        </w:numPr>
        <w:spacing w:after="80"/>
      </w:pPr>
      <w:r>
        <w:rPr>
          <w:rFonts w:ascii="Arial" w:cs="Arial" w:eastAsia="Arial" w:hAnsi="Arial"/>
          <w:color w:val="6B6355"/>
          <w:sz w:val="22"/>
          <w:szCs w:val="22"/>
        </w:rPr>
        <w:t xml:space="preserve">Draft the Task. What specifically happens when this skill is activated?</w:t>
      </w:r>
    </w:p>
    <w:p>
      <w:pPr>
        <w:pStyle w:val="ListParagraph"/>
        <w:numPr>
          <w:ilvl w:val="0"/>
          <w:numId w:val="2"/>
        </w:numPr>
        <w:spacing w:after="80"/>
      </w:pPr>
      <w:r>
        <w:rPr>
          <w:rFonts w:ascii="Arial" w:cs="Arial" w:eastAsia="Arial" w:hAnsi="Arial"/>
          <w:color w:val="6B6355"/>
          <w:sz w:val="22"/>
          <w:szCs w:val="22"/>
        </w:rPr>
        <w:t xml:space="preserve">Draft the Format. What should the output look like every time?</w:t>
      </w:r>
    </w:p>
    <w:p>
      <w:pPr>
        <w:pStyle w:val="ListParagraph"/>
        <w:numPr>
          <w:ilvl w:val="0"/>
          <w:numId w:val="2"/>
        </w:numPr>
        <w:spacing w:after="80"/>
      </w:pPr>
      <w:r>
        <w:rPr>
          <w:rFonts w:ascii="Arial" w:cs="Arial" w:eastAsia="Arial" w:hAnsi="Arial"/>
          <w:color w:val="6B6355"/>
          <w:sz w:val="22"/>
          <w:szCs w:val="22"/>
        </w:rPr>
        <w:t xml:space="preserve">Draft the Constraints. What must the skill never do?</w:t>
      </w:r>
    </w:p>
    <w:p>
      <w:pPr>
        <w:pStyle w:val="ListParagraph"/>
        <w:numPr>
          <w:ilvl w:val="0"/>
          <w:numId w:val="2"/>
        </w:numPr>
        <w:spacing w:after="80"/>
      </w:pPr>
      <w:r>
        <w:rPr>
          <w:rFonts w:ascii="Arial" w:cs="Arial" w:eastAsia="Arial" w:hAnsi="Arial"/>
          <w:color w:val="6B6355"/>
          <w:sz w:val="22"/>
          <w:szCs w:val="22"/>
        </w:rPr>
        <w:t xml:space="preserve">Run it. Give the skill a real input and see what comes out.</w:t>
      </w:r>
    </w:p>
    <w:p>
      <w:pPr>
        <w:pStyle w:val="ListParagraph"/>
        <w:numPr>
          <w:ilvl w:val="0"/>
          <w:numId w:val="2"/>
        </w:numPr>
        <w:spacing w:after="80"/>
      </w:pPr>
      <w:r>
        <w:rPr>
          <w:rFonts w:ascii="Arial" w:cs="Arial" w:eastAsia="Arial" w:hAnsi="Arial"/>
          <w:color w:val="6B6355"/>
          <w:sz w:val="22"/>
          <w:szCs w:val="22"/>
        </w:rPr>
        <w:t xml:space="preserve">Revise. Identify what was wrong and fix one component at a time.</w:t>
      </w:r>
    </w:p>
    <w:p>
      <w:pPr>
        <w:spacing w:after="160"/>
      </w:pPr>
    </w:p>
    <w:p>
      <w:pPr>
        <w:pStyle w:val="Heading3"/>
      </w:pPr>
      <w:r>
        <w:rPr>
          <w:rFonts w:ascii="Arial" w:cs="Arial" w:eastAsia="Arial" w:hAnsi="Arial"/>
          <w:b/>
          <w:bCs/>
          <w:color w:val="1E1A14"/>
          <w:sz w:val="22"/>
          <w:szCs w:val="22"/>
        </w:rPr>
        <w:t xml:space="preserve">The Five Role-Specific Skill Starters</w:t>
      </w:r>
    </w:p>
    <w:p>
      <w:pPr>
        <w:spacing w:after="120"/>
      </w:pPr>
      <w:r>
        <w:rPr>
          <w:rFonts w:ascii="Arial" w:cs="Arial" w:eastAsia="Arial" w:hAnsi="Arial"/>
          <w:i w:val="false"/>
          <w:iCs w:val="false"/>
          <w:color w:val="6B6355"/>
          <w:sz w:val="22"/>
          <w:szCs w:val="22"/>
        </w:rPr>
        <w:t xml:space="preserve">These are not finished skills — they are starting points. The learner’s job in Activity 7.1 is to take the starter relevant to their role and complete it into a working skill.</w:t>
      </w:r>
    </w:p>
    <w:p>
      <w:pPr>
        <w:spacing w:after="80"/>
      </w:pPr>
    </w:p>
    <w:p>
      <w:pPr>
        <w:spacing w:after="120"/>
      </w:pPr>
      <w:r>
        <w:rPr>
          <w:rFonts w:ascii="Arial" w:cs="Arial" w:eastAsia="Arial" w:hAnsi="Arial"/>
          <w:b/>
          <w:bCs/>
          <w:color w:val="1E1A14"/>
          <w:sz w:val="22"/>
          <w:szCs w:val="22"/>
        </w:rPr>
        <w:t xml:space="preserve">Skill Starter 1 — Meeting Summary (All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1"/>
              <w:right w:val="single" w:color="888888" w:sz="1"/>
            </w:tcBorders>
            <w:shd w:fill="F5F5F5" w:val="clear"/>
            <w:tcMar>
              <w:top w:type="dxa" w:w="120"/>
              <w:left w:type="dxa" w:w="160"/>
              <w:bottom w:type="dxa" w:w="120"/>
              <w:right w:type="dxa" w:w="160"/>
            </w:tcMar>
          </w:tcPr>
          <w:p>
            <w:pPr>
              <w:spacing w:after="60"/>
            </w:pPr>
            <w:r>
              <w:rPr>
                <w:rFonts w:ascii="Arial" w:cs="Arial" w:eastAsia="Arial" w:hAnsi="Arial"/>
                <w:b/>
                <w:bCs/>
                <w:color w:val="888888"/>
                <w:sz w:val="18"/>
                <w:szCs w:val="18"/>
              </w:rPr>
              <w:t xml:space="preserve">MEETING SUMMARY SKILL STARTER</w:t>
            </w:r>
          </w:p>
          <w:p>
            <w:pPr>
              <w:spacing w:after="40"/>
            </w:pPr>
            <w:r>
              <w:rPr>
                <w:rFonts w:ascii="Arial" w:cs="Arial" w:eastAsia="Arial" w:hAnsi="Arial"/>
                <w:color w:val="1E1A14"/>
                <w:sz w:val="21"/>
                <w:szCs w:val="21"/>
              </w:rPr>
              <w:t xml:space="preserve">ROLE: You are a professional executive assistant at a community bank or credit union.</w:t>
            </w:r>
          </w:p>
          <w:p>
            <w:pPr>
              <w:spacing w:after="40"/>
            </w:pPr>
            <w:r>
              <w:rPr>
                <w:rFonts w:ascii="Arial" w:cs="Arial" w:eastAsia="Arial" w:hAnsi="Arial"/>
                <w:color w:val="1E1A14"/>
                <w:sz w:val="21"/>
                <w:szCs w:val="21"/>
              </w:rPr>
              <w:t xml:space="preserve">CONTEXT: [LEARNER FILLS IN: institution name, approximate asset size, whether meetings are internal or include external parties]</w:t>
            </w:r>
          </w:p>
          <w:p>
            <w:pPr>
              <w:spacing w:after="40"/>
            </w:pPr>
            <w:r>
              <w:rPr>
                <w:rFonts w:ascii="Arial" w:cs="Arial" w:eastAsia="Arial" w:hAnsi="Arial"/>
                <w:color w:val="1E1A14"/>
                <w:sz w:val="21"/>
                <w:szCs w:val="21"/>
              </w:rPr>
              <w:t xml:space="preserve">TASK: When I provide a meeting transcript or notes, produce a structured summary optimized for follow-through and accountability.</w:t>
            </w:r>
          </w:p>
          <w:p>
            <w:pPr>
              <w:spacing w:after="40"/>
            </w:pPr>
            <w:r>
              <w:rPr>
                <w:rFonts w:ascii="Arial" w:cs="Arial" w:eastAsia="Arial" w:hAnsi="Arial"/>
                <w:color w:val="1E1A14"/>
                <w:sz w:val="21"/>
                <w:szCs w:val="21"/>
              </w:rPr>
              <w:t xml:space="preserve">FORMAT: Three sections — Key Decisions (bullet points), Action Items (table: Owner | Task | Deadline), Open Questions (bullet points). Maximum 400 words total.</w:t>
            </w:r>
          </w:p>
          <w:p>
            <w:pPr>
              <w:spacing w:after="40"/>
            </w:pPr>
            <w:r>
              <w:rPr>
                <w:rFonts w:ascii="Arial" w:cs="Arial" w:eastAsia="Arial" w:hAnsi="Arial"/>
                <w:color w:val="1E1A14"/>
                <w:sz w:val="21"/>
                <w:szCs w:val="21"/>
              </w:rPr>
              <w:t xml:space="preserve">CONSTRAINT: Do not include names of members or customers. Do not include anything marked confidential. Flag any action item with no clear owner with [UNASSIGNED]. Do not add interpretation not present in the source material.</w:t>
            </w:r>
          </w:p>
        </w:tc>
      </w:tr>
    </w:tbl>
    <w:p>
      <w:pPr>
        <w:spacing w:after="80"/>
      </w:pPr>
    </w:p>
    <w:p>
      <w:pPr>
        <w:spacing w:after="120"/>
      </w:pPr>
      <w:r>
        <w:rPr>
          <w:rFonts w:ascii="Arial" w:cs="Arial" w:eastAsia="Arial" w:hAnsi="Arial"/>
          <w:b/>
          <w:bCs/>
          <w:color w:val="1E1A14"/>
          <w:sz w:val="22"/>
          <w:szCs w:val="22"/>
        </w:rPr>
        <w:t xml:space="preserve">Skill Starter 2 — Regulatory Research Brief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1"/>
              <w:right w:val="single" w:color="888888" w:sz="1"/>
            </w:tcBorders>
            <w:shd w:fill="F5F5F5" w:val="clear"/>
            <w:tcMar>
              <w:top w:type="dxa" w:w="120"/>
              <w:left w:type="dxa" w:w="160"/>
              <w:bottom w:type="dxa" w:w="120"/>
              <w:right w:type="dxa" w:w="160"/>
            </w:tcMar>
          </w:tcPr>
          <w:p>
            <w:pPr>
              <w:spacing w:after="60"/>
            </w:pPr>
            <w:r>
              <w:rPr>
                <w:rFonts w:ascii="Arial" w:cs="Arial" w:eastAsia="Arial" w:hAnsi="Arial"/>
                <w:b/>
                <w:bCs/>
                <w:color w:val="888888"/>
                <w:sz w:val="18"/>
                <w:szCs w:val="18"/>
              </w:rPr>
              <w:t xml:space="preserve">REGULATORY RESEARCH SKILL STARTER</w:t>
            </w:r>
          </w:p>
          <w:p>
            <w:pPr>
              <w:spacing w:after="40"/>
            </w:pPr>
            <w:r>
              <w:rPr>
                <w:rFonts w:ascii="Arial" w:cs="Arial" w:eastAsia="Arial" w:hAnsi="Arial"/>
                <w:color w:val="1E1A14"/>
                <w:sz w:val="21"/>
                <w:szCs w:val="21"/>
              </w:rPr>
              <w:t xml:space="preserve">ROLE: You are a compliance research assistant at an FDIC-insured community bank. You have deep familiarity with federal banking regulations.</w:t>
            </w:r>
          </w:p>
          <w:p>
            <w:pPr>
              <w:spacing w:after="40"/>
            </w:pPr>
            <w:r>
              <w:rPr>
                <w:rFonts w:ascii="Arial" w:cs="Arial" w:eastAsia="Arial" w:hAnsi="Arial"/>
                <w:color w:val="1E1A14"/>
                <w:sz w:val="21"/>
                <w:szCs w:val="21"/>
              </w:rPr>
              <w:t xml:space="preserve">CONTEXT: [LEARNER FILLS IN: institution charter type, primary regulators, key regulatory areas relevant to their role]</w:t>
            </w:r>
          </w:p>
          <w:p>
            <w:pPr>
              <w:spacing w:after="40"/>
            </w:pPr>
            <w:r>
              <w:rPr>
                <w:rFonts w:ascii="Arial" w:cs="Arial" w:eastAsia="Arial" w:hAnsi="Arial"/>
                <w:color w:val="1E1A14"/>
                <w:sz w:val="21"/>
                <w:szCs w:val="21"/>
              </w:rPr>
              <w:t xml:space="preserve">TASK: When I provide a regulatory topic, produce a structured research brief.</w:t>
            </w:r>
          </w:p>
          <w:p>
            <w:pPr>
              <w:spacing w:after="40"/>
            </w:pPr>
            <w:r>
              <w:rPr>
                <w:rFonts w:ascii="Arial" w:cs="Arial" w:eastAsia="Arial" w:hAnsi="Arial"/>
                <w:color w:val="1E1A14"/>
                <w:sz w:val="21"/>
                <w:szCs w:val="21"/>
              </w:rPr>
              <w:t xml:space="preserve">FORMAT: Four sections — Background (2 paragraphs), Key Regulatory References (bulleted), Areas of Active Development (bulleted), Questions for Legal or Compliance Counsel (bulleted).</w:t>
            </w:r>
          </w:p>
          <w:p>
            <w:pPr>
              <w:spacing w:after="40"/>
            </w:pPr>
            <w:r>
              <w:rPr>
                <w:rFonts w:ascii="Arial" w:cs="Arial" w:eastAsia="Arial" w:hAnsi="Arial"/>
                <w:color w:val="1E1A14"/>
                <w:sz w:val="21"/>
                <w:szCs w:val="21"/>
              </w:rPr>
              <w:t xml:space="preserve">CONSTRAINT: Append [VERIFY] to every regulatory citation. Append [CURRENCY CHECK] to any statement about current regulatory position. Do not state that a regulation is ‘current’ without this flag. Do not make compliance recommendations.</w:t>
            </w:r>
          </w:p>
        </w:tc>
      </w:tr>
    </w:tbl>
    <w:p>
      <w:pPr>
        <w:spacing w:after="80"/>
      </w:pPr>
    </w:p>
    <w:p>
      <w:pPr>
        <w:spacing w:after="120"/>
      </w:pPr>
      <w:r>
        <w:rPr>
          <w:rFonts w:ascii="Arial" w:cs="Arial" w:eastAsia="Arial" w:hAnsi="Arial"/>
          <w:b/>
          <w:bCs/>
          <w:color w:val="1E1A14"/>
          <w:sz w:val="22"/>
          <w:szCs w:val="22"/>
        </w:rPr>
        <w:t xml:space="preserve">Skill Starter 3 — Loan Pipeline Report (Lending)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1"/>
              <w:right w:val="single" w:color="888888" w:sz="1"/>
            </w:tcBorders>
            <w:shd w:fill="F5F5F5" w:val="clear"/>
            <w:tcMar>
              <w:top w:type="dxa" w:w="120"/>
              <w:left w:type="dxa" w:w="160"/>
              <w:bottom w:type="dxa" w:w="120"/>
              <w:right w:type="dxa" w:w="160"/>
            </w:tcMar>
          </w:tcPr>
          <w:p>
            <w:pPr>
              <w:spacing w:after="60"/>
            </w:pPr>
            <w:r>
              <w:rPr>
                <w:rFonts w:ascii="Arial" w:cs="Arial" w:eastAsia="Arial" w:hAnsi="Arial"/>
                <w:b/>
                <w:bCs/>
                <w:color w:val="888888"/>
                <w:sz w:val="18"/>
                <w:szCs w:val="18"/>
              </w:rPr>
              <w:t xml:space="preserve">LOAN PIPELINE REPORT SKILL STARTER</w:t>
            </w:r>
          </w:p>
          <w:p>
            <w:pPr>
              <w:spacing w:after="40"/>
            </w:pPr>
            <w:r>
              <w:rPr>
                <w:rFonts w:ascii="Arial" w:cs="Arial" w:eastAsia="Arial" w:hAnsi="Arial"/>
                <w:color w:val="1E1A14"/>
                <w:sz w:val="21"/>
                <w:szCs w:val="21"/>
              </w:rPr>
              <w:t xml:space="preserve">ROLE: You are a lending analytics assistant at a community bank.</w:t>
            </w:r>
          </w:p>
          <w:p>
            <w:pPr>
              <w:spacing w:after="40"/>
            </w:pPr>
            <w:r>
              <w:rPr>
                <w:rFonts w:ascii="Arial" w:cs="Arial" w:eastAsia="Arial" w:hAnsi="Arial"/>
                <w:color w:val="1E1A14"/>
                <w:sz w:val="21"/>
                <w:szCs w:val="21"/>
              </w:rPr>
              <w:t xml:space="preserve">CONTEXT: [LEARNER FILLS IN: loan types processed, typical pipeline volume, report audience (internal vs. board), standard reporting periods]</w:t>
            </w:r>
          </w:p>
          <w:p>
            <w:pPr>
              <w:spacing w:after="40"/>
            </w:pPr>
            <w:r>
              <w:rPr>
                <w:rFonts w:ascii="Arial" w:cs="Arial" w:eastAsia="Arial" w:hAnsi="Arial"/>
                <w:color w:val="1E1A14"/>
                <w:sz w:val="21"/>
                <w:szCs w:val="21"/>
              </w:rPr>
              <w:t xml:space="preserve">TASK: When I provide pipeline data, produce a structured pipeline report summary.</w:t>
            </w:r>
          </w:p>
          <w:p>
            <w:pPr>
              <w:spacing w:after="40"/>
            </w:pPr>
            <w:r>
              <w:rPr>
                <w:rFonts w:ascii="Arial" w:cs="Arial" w:eastAsia="Arial" w:hAnsi="Arial"/>
                <w:color w:val="1E1A14"/>
                <w:sz w:val="21"/>
                <w:szCs w:val="21"/>
              </w:rPr>
              <w:t xml:space="preserve">FORMAT: Executive summary (3 sentences), Pipeline by Stage (table), Notable Items (bulleted), Month-over-Month Comparison (if prior period data provided), Risks and Flags (bulleted, each prefixed [FLAG]).</w:t>
            </w:r>
          </w:p>
          <w:p>
            <w:pPr>
              <w:spacing w:after="40"/>
            </w:pPr>
            <w:r>
              <w:rPr>
                <w:rFonts w:ascii="Arial" w:cs="Arial" w:eastAsia="Arial" w:hAnsi="Arial"/>
                <w:color w:val="1E1A14"/>
                <w:sz w:val="21"/>
                <w:szCs w:val="21"/>
              </w:rPr>
              <w:t xml:space="preserve">CONSTRAINT: Do not calculate ratios without showing the formula used. Flag all calculations with [VERIFY MATH]. Do not include borrower names or account numbers in any output.</w:t>
            </w:r>
          </w:p>
        </w:tc>
      </w:tr>
    </w:tbl>
    <w:p>
      <w:pPr>
        <w:spacing w:after="80"/>
      </w:pPr>
    </w:p>
    <w:p>
      <w:pPr>
        <w:spacing w:after="120"/>
      </w:pPr>
      <w:r>
        <w:rPr>
          <w:rFonts w:ascii="Arial" w:cs="Arial" w:eastAsia="Arial" w:hAnsi="Arial"/>
          <w:b/>
          <w:bCs/>
          <w:color w:val="1E1A14"/>
          <w:sz w:val="22"/>
          <w:szCs w:val="22"/>
        </w:rPr>
        <w:t xml:space="preserve">Skill Starter 4 — Exception Report Analysis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1"/>
              <w:right w:val="single" w:color="888888" w:sz="1"/>
            </w:tcBorders>
            <w:shd w:fill="F5F5F5" w:val="clear"/>
            <w:tcMar>
              <w:top w:type="dxa" w:w="120"/>
              <w:left w:type="dxa" w:w="160"/>
              <w:bottom w:type="dxa" w:w="120"/>
              <w:right w:type="dxa" w:w="160"/>
            </w:tcMar>
          </w:tcPr>
          <w:p>
            <w:pPr>
              <w:spacing w:after="60"/>
            </w:pPr>
            <w:r>
              <w:rPr>
                <w:rFonts w:ascii="Arial" w:cs="Arial" w:eastAsia="Arial" w:hAnsi="Arial"/>
                <w:b/>
                <w:bCs/>
                <w:color w:val="888888"/>
                <w:sz w:val="18"/>
                <w:szCs w:val="18"/>
              </w:rPr>
              <w:t xml:space="preserve">EXCEPTION REPORT ANALYSIS SKILL STARTER</w:t>
            </w:r>
          </w:p>
          <w:p>
            <w:pPr>
              <w:spacing w:after="40"/>
            </w:pPr>
            <w:r>
              <w:rPr>
                <w:rFonts w:ascii="Arial" w:cs="Arial" w:eastAsia="Arial" w:hAnsi="Arial"/>
                <w:color w:val="1E1A14"/>
                <w:sz w:val="21"/>
                <w:szCs w:val="21"/>
              </w:rPr>
              <w:t xml:space="preserve">ROLE: You are an operations analyst at a community bank or credit union.</w:t>
            </w:r>
          </w:p>
          <w:p>
            <w:pPr>
              <w:spacing w:after="40"/>
            </w:pPr>
            <w:r>
              <w:rPr>
                <w:rFonts w:ascii="Arial" w:cs="Arial" w:eastAsia="Arial" w:hAnsi="Arial"/>
                <w:color w:val="1E1A14"/>
                <w:sz w:val="21"/>
                <w:szCs w:val="21"/>
              </w:rPr>
              <w:t xml:space="preserve">CONTEXT: [LEARNER FILLS IN: types of exceptions tracked, core system used, frequency of reporting, who reviews the output]</w:t>
            </w:r>
          </w:p>
          <w:p>
            <w:pPr>
              <w:spacing w:after="40"/>
            </w:pPr>
            <w:r>
              <w:rPr>
                <w:rFonts w:ascii="Arial" w:cs="Arial" w:eastAsia="Arial" w:hAnsi="Arial"/>
                <w:color w:val="1E1A14"/>
                <w:sz w:val="21"/>
                <w:szCs w:val="21"/>
              </w:rPr>
              <w:t xml:space="preserve">TASK: When I provide exception data or a raw exception report, analyze it and produce a structured summary.</w:t>
            </w:r>
          </w:p>
          <w:p>
            <w:pPr>
              <w:spacing w:after="40"/>
            </w:pPr>
            <w:r>
              <w:rPr>
                <w:rFonts w:ascii="Arial" w:cs="Arial" w:eastAsia="Arial" w:hAnsi="Arial"/>
                <w:color w:val="1E1A14"/>
                <w:sz w:val="21"/>
                <w:szCs w:val="21"/>
              </w:rPr>
              <w:t xml:space="preserve">FORMAT: Summary Statistics (table), Exceptions by Category (ranked by volume), Notable Patterns (bulleted), Recommended Actions (bulleted, each prefixed with priority: [HIGH] [MEDIUM] [LOW]).</w:t>
            </w:r>
          </w:p>
          <w:p>
            <w:pPr>
              <w:spacing w:after="40"/>
            </w:pPr>
            <w:r>
              <w:rPr>
                <w:rFonts w:ascii="Arial" w:cs="Arial" w:eastAsia="Arial" w:hAnsi="Arial"/>
                <w:color w:val="1E1A14"/>
                <w:sz w:val="21"/>
                <w:szCs w:val="21"/>
              </w:rPr>
              <w:t xml:space="preserve">CONSTRAINT: Do not include member account information. Do not make determinations about whether an exception represents a policy violation — flag it for human review. Flag all statistical calculations with [VERIFY MATH].</w:t>
            </w:r>
          </w:p>
        </w:tc>
      </w:tr>
    </w:tbl>
    <w:p>
      <w:pPr>
        <w:spacing w:after="80"/>
      </w:pPr>
    </w:p>
    <w:p>
      <w:pPr>
        <w:spacing w:after="120"/>
      </w:pPr>
      <w:r>
        <w:rPr>
          <w:rFonts w:ascii="Arial" w:cs="Arial" w:eastAsia="Arial" w:hAnsi="Arial"/>
          <w:b/>
          <w:bCs/>
          <w:color w:val="1E1A14"/>
          <w:sz w:val="22"/>
          <w:szCs w:val="22"/>
        </w:rPr>
        <w:t xml:space="preserve">Skill Starter 5 — Marketing Content Draft (Marketing)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6"/>
              <w:left w:val="single" w:color="888888" w:sz="6"/>
              <w:bottom w:val="single" w:color="888888" w:sz="1"/>
              <w:right w:val="single" w:color="888888" w:sz="1"/>
            </w:tcBorders>
            <w:shd w:fill="F5F5F5" w:val="clear"/>
            <w:tcMar>
              <w:top w:type="dxa" w:w="120"/>
              <w:left w:type="dxa" w:w="160"/>
              <w:bottom w:type="dxa" w:w="120"/>
              <w:right w:type="dxa" w:w="160"/>
            </w:tcMar>
          </w:tcPr>
          <w:p>
            <w:pPr>
              <w:spacing w:after="60"/>
            </w:pPr>
            <w:r>
              <w:rPr>
                <w:rFonts w:ascii="Arial" w:cs="Arial" w:eastAsia="Arial" w:hAnsi="Arial"/>
                <w:b/>
                <w:bCs/>
                <w:color w:val="888888"/>
                <w:sz w:val="18"/>
                <w:szCs w:val="18"/>
              </w:rPr>
              <w:t xml:space="preserve">MARKETING CONTENT SKILL STARTER</w:t>
            </w:r>
          </w:p>
          <w:p>
            <w:pPr>
              <w:spacing w:after="40"/>
            </w:pPr>
            <w:r>
              <w:rPr>
                <w:rFonts w:ascii="Arial" w:cs="Arial" w:eastAsia="Arial" w:hAnsi="Arial"/>
                <w:color w:val="1E1A14"/>
                <w:sz w:val="21"/>
                <w:szCs w:val="21"/>
              </w:rPr>
              <w:t xml:space="preserve">ROLE: You are a marketing copywriter at a community bank or credit union who deeply understands the institution’s brand voice and community values.</w:t>
            </w:r>
          </w:p>
          <w:p>
            <w:pPr>
              <w:spacing w:after="40"/>
            </w:pPr>
            <w:r>
              <w:rPr>
                <w:rFonts w:ascii="Arial" w:cs="Arial" w:eastAsia="Arial" w:hAnsi="Arial"/>
                <w:color w:val="1E1A14"/>
                <w:sz w:val="21"/>
                <w:szCs w:val="21"/>
              </w:rPr>
              <w:t xml:space="preserve">CONTEXT: [LEARNER FILLS IN: institution name, brand voice description (formal/conversational/warm/etc.), primary member demographic, current campaigns or products being promoted]</w:t>
            </w:r>
          </w:p>
          <w:p>
            <w:pPr>
              <w:spacing w:after="40"/>
            </w:pPr>
            <w:r>
              <w:rPr>
                <w:rFonts w:ascii="Arial" w:cs="Arial" w:eastAsia="Arial" w:hAnsi="Arial"/>
                <w:color w:val="1E1A14"/>
                <w:sz w:val="21"/>
                <w:szCs w:val="21"/>
              </w:rPr>
              <w:t xml:space="preserve">TASK: When I describe a marketing need, draft copy appropriate for the specified channel.</w:t>
            </w:r>
          </w:p>
          <w:p>
            <w:pPr>
              <w:spacing w:after="40"/>
            </w:pPr>
            <w:r>
              <w:rPr>
                <w:rFonts w:ascii="Arial" w:cs="Arial" w:eastAsia="Arial" w:hAnsi="Arial"/>
                <w:color w:val="1E1A14"/>
                <w:sz w:val="21"/>
                <w:szCs w:val="21"/>
              </w:rPr>
              <w:t xml:space="preserve">FORMAT: Specify the channel when activating (social post / email subject + body / branch signage / website copy). Include a [CHANNEL] and [WORD COUNT TARGET] at the top of your output.</w:t>
            </w:r>
          </w:p>
          <w:p>
            <w:pPr>
              <w:spacing w:after="40"/>
            </w:pPr>
            <w:r>
              <w:rPr>
                <w:rFonts w:ascii="Arial" w:cs="Arial" w:eastAsia="Arial" w:hAnsi="Arial"/>
                <w:color w:val="1E1A14"/>
                <w:sz w:val="21"/>
                <w:szCs w:val="21"/>
              </w:rPr>
              <w:t xml:space="preserve">CONSTRAINT: Do not make regulatory or compliance claims without flagging them [COMPLIANCE REVIEW NEEDED]. Do not reference specific rates or fees unless I provide them. Stay within the brand voice described above. Do not use urgency language that could be perceived as high-pressure sales.</w:t>
            </w:r>
          </w:p>
        </w:tc>
      </w:tr>
    </w:tbl>
    <w:p>
      <w:pPr>
        <w:spacing w:after="160"/>
      </w:pPr>
    </w:p>
    <w:p>
      <w:pPr>
        <w:pStyle w:val="Heading3"/>
      </w:pPr>
      <w:r>
        <w:rPr>
          <w:rFonts w:ascii="Arial" w:cs="Arial" w:eastAsia="Arial" w:hAnsi="Arial"/>
          <w:b/>
          <w:bCs/>
          <w:color w:val="1E1A14"/>
          <w:sz w:val="22"/>
          <w:szCs w:val="22"/>
        </w:rPr>
        <w:t xml:space="preserve">Activity 7.1 — Write Your First Skill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741" w:sz="6"/>
              <w:left w:val="single" w:color="4A6741" w:sz="6"/>
              <w:bottom w:val="single" w:color="4A6741" w:sz="1"/>
              <w:right w:val="single" w:color="4A6741" w:sz="1"/>
            </w:tcBorders>
            <w:shd w:fill="EBF5F0" w:val="clear"/>
            <w:tcMar>
              <w:top w:type="dxa" w:w="120"/>
              <w:left w:type="dxa" w:w="160"/>
              <w:bottom w:type="dxa" w:w="120"/>
              <w:right w:type="dxa" w:w="160"/>
            </w:tcMar>
          </w:tcPr>
          <w:p>
            <w:pPr>
              <w:spacing w:after="60"/>
            </w:pPr>
            <w:r>
              <w:rPr>
                <w:rFonts w:ascii="Arial" w:cs="Arial" w:eastAsia="Arial" w:hAnsi="Arial"/>
                <w:b/>
                <w:bCs/>
                <w:color w:val="4A6741"/>
                <w:sz w:val="18"/>
                <w:szCs w:val="18"/>
              </w:rPr>
              <w:t xml:space="preserve">ACTIVITY 7.1</w:t>
            </w:r>
          </w:p>
          <w:p>
            <w:pPr>
              <w:spacing w:after="40"/>
            </w:pPr>
            <w:r>
              <w:rPr>
                <w:rFonts w:ascii="Arial" w:cs="Arial" w:eastAsia="Arial" w:hAnsi="Arial"/>
                <w:color w:val="1E1A14"/>
                <w:sz w:val="21"/>
                <w:szCs w:val="21"/>
              </w:rPr>
              <w:t xml:space="preserve">Choose the skill starter most relevant to your role. Complete all five components.</w:t>
            </w:r>
          </w:p>
          <w:p>
            <w:pPr>
              <w:spacing w:after="40"/>
            </w:pPr>
            <w:r>
              <w:rPr>
                <w:rFonts w:ascii="Arial" w:cs="Arial" w:eastAsia="Arial" w:hAnsi="Arial"/>
                <w:color w:val="1E1A14"/>
                <w:sz w:val="21"/>
                <w:szCs w:val="21"/>
              </w:rPr>
              <w:t xml:space="preserve">Then run it: open your AI tool, paste your skill into the custom instructions or system prompt field, provide a real input (non-sensitive — use dummy data or a publicly available document), and read the output.</w:t>
            </w:r>
          </w:p>
          <w:p>
            <w:pPr>
              <w:spacing w:after="40"/>
            </w:pPr>
            <w:r>
              <w:rPr>
                <w:rFonts w:ascii="Arial" w:cs="Arial" w:eastAsia="Arial" w:hAnsi="Arial"/>
                <w:color w:val="1E1A14"/>
                <w:sz w:val="21"/>
                <w:szCs w:val="21"/>
              </w:rPr>
              <w:t xml:space="preserve">Evaluate it: Does the output match the format you specified? Are there hallucination patterns present? What would you change?</w:t>
            </w:r>
          </w:p>
          <w:p>
            <w:pPr>
              <w:spacing w:after="40"/>
            </w:pPr>
            <w:r>
              <w:rPr>
                <w:rFonts w:ascii="Arial" w:cs="Arial" w:eastAsia="Arial" w:hAnsi="Arial"/>
                <w:color w:val="1E1A14"/>
                <w:sz w:val="21"/>
                <w:szCs w:val="21"/>
              </w:rPr>
              <w:t xml:space="preserve">Submit: your completed skill file (all five components), the input you used, and the output you received.</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B8860B" w:val="clear"/>
            <w:tcMar>
              <w:top w:type="dxa" w:w="140"/>
              <w:left w:type="dxa" w:w="140"/>
              <w:bottom w:type="dxa" w:w="140"/>
              <w:right w:type="dxa" w:w="140"/>
            </w:tcMar>
            <w:vAlign w:val="center"/>
          </w:tcPr>
          <w:p>
            <w:pPr>
              <w:jc w:val="center"/>
            </w:pPr>
            <w:r>
              <w:rPr>
                <w:rFonts w:ascii="Arial" w:cs="Arial" w:eastAsia="Arial" w:hAnsi="Arial"/>
                <w:b/>
                <w:bCs/>
                <w:color w:val="FFFFFF"/>
                <w:sz w:val="36"/>
                <w:szCs w:val="36"/>
              </w:rPr>
              <w:t xml:space="preserve">M8</w:t>
            </w:r>
          </w:p>
          <w:p>
            <w:pPr>
              <w:jc w:val="center"/>
            </w:pPr>
            <w:r>
              <w:rPr>
                <w:rFonts w:ascii="Arial" w:cs="Arial" w:eastAsia="Arial" w:hAnsi="Arial"/>
                <w:i/>
                <w:iCs/>
                <w:color w:val="FFFFFF"/>
                <w:sz w:val="14"/>
                <w:szCs w:val="14"/>
              </w:rPr>
              <w:t xml:space="preserve">Creation</w:t>
            </w:r>
          </w:p>
          <w:p>
            <w:pPr>
              <w:jc w:val="center"/>
            </w:pPr>
            <w:r>
              <w:rPr>
                <w:rFonts w:ascii="Arial" w:cs="Arial" w:eastAsia="Arial" w:hAnsi="Arial"/>
                <w:color w:val="FFFFFF"/>
                <w:sz w:val="14"/>
                <w:szCs w:val="14"/>
              </w:rPr>
              <w:t xml:space="preserve">~20 min</w:t>
            </w:r>
          </w:p>
        </w:tc>
        <w:tc>
          <w:tcPr>
            <w:tcW w:type="dxa" w:w="8260"/>
            <w:tcBorders>
              <w:top w:val="none" w:color="FFFFFF" w:sz="0"/>
              <w:left w:val="none" w:color="FFFFFF" w:sz="0"/>
              <w:bottom w:val="none" w:color="FFFFFF" w:sz="0"/>
              <w:right w:val="none" w:color="FFFFFF" w:sz="0"/>
            </w:tcBorders>
            <w:shd w:fill="EDE6D8" w:val="clear"/>
            <w:tcMar>
              <w:top w:type="dxa" w:w="140"/>
              <w:left w:type="dxa" w:w="180"/>
              <w:bottom w:type="dxa" w:w="140"/>
              <w:right w:type="dxa" w:w="140"/>
            </w:tcMar>
          </w:tcPr>
          <w:p>
            <w:pPr>
              <w:spacing w:after="50"/>
            </w:pPr>
            <w:r>
              <w:rPr>
                <w:rFonts w:ascii="Arial" w:cs="Arial" w:eastAsia="Arial" w:hAnsi="Arial"/>
                <w:b/>
                <w:bCs/>
                <w:color w:val="1E1A14"/>
                <w:sz w:val="28"/>
                <w:szCs w:val="28"/>
              </w:rPr>
              <w:t xml:space="preserve">Test, Iterate, and Share the Concept</w:t>
            </w:r>
          </w:p>
          <w:p>
            <w:pPr>
              <w:spacing w:after="0"/>
            </w:pPr>
            <w:r>
              <w:rPr>
                <w:rFonts w:ascii="Arial" w:cs="Arial" w:eastAsia="Arial" w:hAnsi="Arial"/>
                <w:i/>
                <w:iCs/>
                <w:color w:val="6B6355"/>
                <w:sz w:val="21"/>
                <w:szCs w:val="21"/>
              </w:rPr>
              <w:t xml:space="preserve">Learning goal: The learner can refine a skill through structured iteration, understands why skills are shareable, and knows the margin of error progression that governs how and when to share.</w:t>
            </w:r>
          </w:p>
        </w:tc>
      </w:tr>
    </w:tbl>
    <w:p>
      <w:pPr>
        <w:spacing w:after="80"/>
      </w:pPr>
    </w:p>
    <w:p>
      <w:pPr>
        <w:pStyle w:val="Heading3"/>
      </w:pPr>
      <w:r>
        <w:rPr>
          <w:rFonts w:ascii="Arial" w:cs="Arial" w:eastAsia="Arial" w:hAnsi="Arial"/>
          <w:b/>
          <w:bCs/>
          <w:color w:val="1E1A14"/>
          <w:sz w:val="22"/>
          <w:szCs w:val="22"/>
        </w:rPr>
        <w:t xml:space="preserve">The Iteration Protocol</w:t>
      </w:r>
    </w:p>
    <w:p>
      <w:pPr>
        <w:spacing w:after="120"/>
      </w:pPr>
      <w:r>
        <w:rPr>
          <w:rFonts w:ascii="Arial" w:cs="Arial" w:eastAsia="Arial" w:hAnsi="Arial"/>
          <w:i w:val="false"/>
          <w:iCs w:val="false"/>
          <w:color w:val="6B6355"/>
          <w:sz w:val="22"/>
          <w:szCs w:val="22"/>
        </w:rPr>
        <w:t xml:space="preserve">A skill that does not work perfectly on the first run is not a bad skill. It is an unfinished one. The iteration protocol is a structured approach to diagnosing and fixing a skill without rewriting it from scratch.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Symptom</w:t>
            </w:r>
          </w:p>
        </w:tc>
        <w:tc>
          <w:tcPr>
            <w:tcW w:type="dxa" w:w="28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Likely Root Cause</w:t>
            </w:r>
          </w:p>
        </w:tc>
        <w:tc>
          <w:tcPr>
            <w:tcW w:type="dxa" w:w="456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Which Component to Fix</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Output is generic, does not sound institutional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Role or Context is too vague</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Add specificity to Role. Add institutional context to Context.</w:t>
            </w:r>
          </w:p>
        </w:tc>
      </w:tr>
      <w:tr>
        <w:tc>
          <w:tcPr>
            <w:tcW w:type="dxa" w:w="20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Output includes hallucinated data or citations</w:t>
            </w:r>
          </w:p>
        </w:tc>
        <w:tc>
          <w:tcPr>
            <w:tcW w:type="dxa" w:w="28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Constraint does not prevent it</w:t>
            </w:r>
          </w:p>
        </w:tc>
        <w:tc>
          <w:tcPr>
            <w:tcW w:type="dxa" w:w="45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Add explicit constraint: “Flag all [type] with [VERIFY].”</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Output format is inconsistent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Format is underspecified</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Add more detail to Format: exact section names, word counts, table structure.</w:t>
            </w:r>
          </w:p>
        </w:tc>
      </w:tr>
      <w:tr>
        <w:tc>
          <w:tcPr>
            <w:tcW w:type="dxa" w:w="20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Skill produces great output sometimes, poor output other times</w:t>
            </w:r>
          </w:p>
        </w:tc>
        <w:tc>
          <w:tcPr>
            <w:tcW w:type="dxa" w:w="28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Task definition is too broad</w:t>
            </w:r>
          </w:p>
        </w:tc>
        <w:tc>
          <w:tcPr>
            <w:tcW w:type="dxa" w:w="45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Narrow the Task to a specific, consistent input type.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Output includes information that should not be there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Constraint is missing the specific prohibition</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Add explicit prohibition: “Do not include [specific thing].”</w:t>
            </w:r>
          </w:p>
        </w:tc>
      </w:tr>
      <w:tr>
        <w:tc>
          <w:tcPr>
            <w:tcW w:type="dxa" w:w="20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AI ignores part of the skill</w:t>
            </w:r>
          </w:p>
        </w:tc>
        <w:tc>
          <w:tcPr>
            <w:tcW w:type="dxa" w:w="28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Instructions are contradictory or too long</w:t>
            </w:r>
          </w:p>
        </w:tc>
        <w:tc>
          <w:tcPr>
            <w:tcW w:type="dxa" w:w="45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Simplify. Remove redundancy. Each instruction should appear once.</w:t>
            </w:r>
          </w:p>
        </w:tc>
      </w:tr>
    </w:tbl>
    <w:p>
      <w:pPr>
        <w:spacing w:after="160"/>
      </w:pPr>
    </w:p>
    <w:p>
      <w:pPr>
        <w:pStyle w:val="Heading3"/>
      </w:pPr>
      <w:r>
        <w:rPr>
          <w:rFonts w:ascii="Arial" w:cs="Arial" w:eastAsia="Arial" w:hAnsi="Arial"/>
          <w:b/>
          <w:bCs/>
          <w:color w:val="1E1A14"/>
          <w:sz w:val="22"/>
          <w:szCs w:val="22"/>
        </w:rPr>
        <w:t xml:space="preserve">The One-Change Rule</w:t>
      </w:r>
    </w:p>
    <w:p>
      <w:pPr>
        <w:spacing w:after="120"/>
      </w:pPr>
      <w:r>
        <w:rPr>
          <w:rFonts w:ascii="Arial" w:cs="Arial" w:eastAsia="Arial" w:hAnsi="Arial"/>
          <w:i w:val="false"/>
          <w:iCs w:val="false"/>
          <w:color w:val="6B6355"/>
          <w:sz w:val="22"/>
          <w:szCs w:val="22"/>
        </w:rPr>
        <w:t xml:space="preserve">When iterating a skill, change one component at a time. If you change three things simultaneously, you cannot know which change fixed the problem — or which change introduced a new one. One change per iteration. Run it. Evaluate. Repeat.</w:t>
      </w:r>
    </w:p>
    <w:p>
      <w:pPr>
        <w:spacing w:after="160"/>
      </w:pPr>
    </w:p>
    <w:p>
      <w:pPr>
        <w:pStyle w:val="Heading3"/>
      </w:pPr>
      <w:r>
        <w:rPr>
          <w:rFonts w:ascii="Arial" w:cs="Arial" w:eastAsia="Arial" w:hAnsi="Arial"/>
          <w:b/>
          <w:bCs/>
          <w:color w:val="1E1A14"/>
          <w:sz w:val="22"/>
          <w:szCs w:val="22"/>
        </w:rPr>
        <w:t xml:space="preserve">Skills Are Shareable — The Concept</w:t>
      </w:r>
    </w:p>
    <w:p>
      <w:pPr>
        <w:spacing w:after="120"/>
      </w:pPr>
      <w:r>
        <w:rPr>
          <w:rFonts w:ascii="Arial" w:cs="Arial" w:eastAsia="Arial" w:hAnsi="Arial"/>
          <w:b/>
          <w:bCs/>
          <w:color w:val="1E1A14"/>
          <w:sz w:val="22"/>
          <w:szCs w:val="22"/>
        </w:rPr>
        <w:t xml:space="preserve">What it means that a skill is portable</w:t>
      </w:r>
    </w:p>
    <w:p>
      <w:pPr>
        <w:spacing w:after="120"/>
      </w:pPr>
      <w:r>
        <w:rPr>
          <w:rFonts w:ascii="Arial" w:cs="Arial" w:eastAsia="Arial" w:hAnsi="Arial"/>
          <w:i w:val="false"/>
          <w:iCs w:val="false"/>
          <w:color w:val="6B6355"/>
          <w:sz w:val="22"/>
          <w:szCs w:val="22"/>
        </w:rPr>
        <w:t xml:space="preserve">A skill is a text file. Specifically, it works best as a Markdown file — a plain text file with .md extension. This format:</w:t>
      </w:r>
    </w:p>
    <w:p>
      <w:pPr>
        <w:pStyle w:val="ListParagraph"/>
        <w:numPr>
          <w:ilvl w:val="0"/>
          <w:numId w:val="3"/>
        </w:numPr>
        <w:spacing w:after="80"/>
      </w:pPr>
      <w:r>
        <w:rPr>
          <w:rFonts w:ascii="Arial" w:cs="Arial" w:eastAsia="Arial" w:hAnsi="Arial"/>
          <w:color w:val="6B6355"/>
          <w:sz w:val="22"/>
          <w:szCs w:val="22"/>
        </w:rPr>
        <w:t xml:space="preserve">Renders cleanly in any text editor, email, or document</w:t>
      </w:r>
    </w:p>
    <w:p>
      <w:pPr>
        <w:pStyle w:val="ListParagraph"/>
        <w:numPr>
          <w:ilvl w:val="0"/>
          <w:numId w:val="3"/>
        </w:numPr>
        <w:spacing w:after="80"/>
      </w:pPr>
      <w:r>
        <w:rPr>
          <w:rFonts w:ascii="Arial" w:cs="Arial" w:eastAsia="Arial" w:hAnsi="Arial"/>
          <w:color w:val="6B6355"/>
          <w:sz w:val="22"/>
          <w:szCs w:val="22"/>
        </w:rPr>
        <w:t xml:space="preserve">Can be pasted directly into any platform’s custom instructions field</w:t>
      </w:r>
    </w:p>
    <w:p>
      <w:pPr>
        <w:pStyle w:val="ListParagraph"/>
        <w:numPr>
          <w:ilvl w:val="0"/>
          <w:numId w:val="3"/>
        </w:numPr>
        <w:spacing w:after="80"/>
      </w:pPr>
      <w:r>
        <w:rPr>
          <w:rFonts w:ascii="Arial" w:cs="Arial" w:eastAsia="Arial" w:hAnsi="Arial"/>
          <w:color w:val="6B6355"/>
          <w:sz w:val="22"/>
          <w:szCs w:val="22"/>
        </w:rPr>
        <w:t xml:space="preserve">Is version-controllable — you can track changes over time</w:t>
      </w:r>
    </w:p>
    <w:p>
      <w:pPr>
        <w:pStyle w:val="ListParagraph"/>
        <w:numPr>
          <w:ilvl w:val="0"/>
          <w:numId w:val="3"/>
        </w:numPr>
        <w:spacing w:after="80"/>
      </w:pPr>
      <w:r>
        <w:rPr>
          <w:rFonts w:ascii="Arial" w:cs="Arial" w:eastAsia="Arial" w:hAnsi="Arial"/>
          <w:color w:val="6B6355"/>
          <w:sz w:val="22"/>
          <w:szCs w:val="22"/>
        </w:rPr>
        <w:t xml:space="preserve">Is shareable via email, Teams, Slack, or a shared drive</w:t>
      </w:r>
    </w:p>
    <w:p>
      <w:pPr>
        <w:spacing w:after="80"/>
      </w:pPr>
    </w:p>
    <w:p>
      <w:pPr>
        <w:spacing w:after="120"/>
      </w:pPr>
      <w:r>
        <w:rPr>
          <w:rFonts w:ascii="Arial" w:cs="Arial" w:eastAsia="Arial" w:hAnsi="Arial"/>
          <w:b/>
          <w:bCs/>
          <w:color w:val="1E1A14"/>
          <w:sz w:val="22"/>
          <w:szCs w:val="22"/>
        </w:rPr>
        <w:t xml:space="preserve">The portability demo</w:t>
      </w:r>
    </w:p>
    <w:p>
      <w:pPr>
        <w:spacing w:after="120"/>
      </w:pPr>
      <w:r>
        <w:rPr>
          <w:rFonts w:ascii="Arial" w:cs="Arial" w:eastAsia="Arial" w:hAnsi="Arial"/>
          <w:i w:val="false"/>
          <w:iCs w:val="false"/>
          <w:color w:val="6B6355"/>
          <w:sz w:val="22"/>
          <w:szCs w:val="22"/>
        </w:rPr>
        <w:t xml:space="preserve">Learners will see a side-by-side demonstration: the same skill file activated in Claude, then in ChatGPT, then in Copilot. The output is consistent across all three. Minor differences in formatting may appear, but the substance is the same. The skill travels with the person, not the platform.</w:t>
      </w:r>
    </w:p>
    <w:p>
      <w:pPr>
        <w:spacing w:after="160"/>
      </w:pPr>
    </w:p>
    <w:p>
      <w:pPr>
        <w:pStyle w:val="Heading3"/>
      </w:pPr>
      <w:r>
        <w:rPr>
          <w:rFonts w:ascii="Arial" w:cs="Arial" w:eastAsia="Arial" w:hAnsi="Arial"/>
          <w:b/>
          <w:bCs/>
          <w:color w:val="1E1A14"/>
          <w:sz w:val="22"/>
          <w:szCs w:val="22"/>
        </w:rPr>
        <w:t xml:space="preserve">The Margin of Error Progression for Sharing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741" w:sz="6"/>
              <w:left w:val="single" w:color="4A6741" w:sz="6"/>
              <w:bottom w:val="single" w:color="4A6741" w:sz="1"/>
              <w:right w:val="single" w:color="4A6741" w:sz="1"/>
            </w:tcBorders>
            <w:shd w:fill="EBF5F0" w:val="clear"/>
            <w:tcMar>
              <w:top w:type="dxa" w:w="120"/>
              <w:left w:type="dxa" w:w="160"/>
              <w:bottom w:type="dxa" w:w="120"/>
              <w:right w:type="dxa" w:w="160"/>
            </w:tcMar>
          </w:tcPr>
          <w:p>
            <w:pPr>
              <w:spacing w:after="60"/>
            </w:pPr>
            <w:r>
              <w:rPr>
                <w:rFonts w:ascii="Arial" w:cs="Arial" w:eastAsia="Arial" w:hAnsi="Arial"/>
                <w:b/>
                <w:bCs/>
                <w:color w:val="4A6741"/>
                <w:sz w:val="18"/>
                <w:szCs w:val="18"/>
              </w:rPr>
              <w:t xml:space="preserve">THE SHARING LADDER</w:t>
            </w:r>
          </w:p>
          <w:p>
            <w:pPr>
              <w:spacing w:after="40"/>
            </w:pPr>
            <w:r>
              <w:rPr>
                <w:rFonts w:ascii="Arial" w:cs="Arial" w:eastAsia="Arial" w:hAnsi="Arial"/>
                <w:color w:val="1E1A14"/>
                <w:sz w:val="21"/>
                <w:szCs w:val="21"/>
              </w:rPr>
              <w:t xml:space="preserve">Personal (this course): You built it for yourself. You are the only one testing it. The margin of error is high — you can fail privately, learn, and iterate without consequence.</w:t>
            </w:r>
          </w:p>
          <w:p>
            <w:pPr>
              <w:spacing w:after="40"/>
            </w:pPr>
            <w:r>
              <w:rPr>
                <w:rFonts w:ascii="Arial" w:cs="Arial" w:eastAsia="Arial" w:hAnsi="Arial"/>
                <w:color w:val="1E1A14"/>
                <w:sz w:val="21"/>
                <w:szCs w:val="21"/>
              </w:rPr>
              <w:t xml:space="preserve">Team (AiBI-S territory): You have refined it enough that a colleague could use it. The margin of error is medium. You share the .md file. They run it. They give you feedback. It gets better.</w:t>
            </w:r>
          </w:p>
          <w:p>
            <w:pPr>
              <w:spacing w:after="40"/>
            </w:pPr>
            <w:r>
              <w:rPr>
                <w:rFonts w:ascii="Arial" w:cs="Arial" w:eastAsia="Arial" w:hAnsi="Arial"/>
                <w:color w:val="1E1A14"/>
                <w:sz w:val="21"/>
                <w:szCs w:val="21"/>
              </w:rPr>
              <w:t xml:space="preserve">Institution (AiBI-S territory): The skill is now part of how your department operates. It is documented, version-controlled, and included in onboarding. Low margin of error. Changes require a review.</w:t>
            </w:r>
          </w:p>
          <w:p>
            <w:pPr>
              <w:spacing w:after="40"/>
            </w:pPr>
            <w:r>
              <w:rPr>
                <w:rFonts w:ascii="Arial" w:cs="Arial" w:eastAsia="Arial" w:hAnsi="Arial"/>
                <w:color w:val="1E1A14"/>
                <w:sz w:val="21"/>
                <w:szCs w:val="21"/>
              </w:rPr>
              <w:t xml:space="preserve">Customer-facing (AiBI-L territory): The skill touches members or borrowers. Zero margin of error. Full governance, examiner-ready documentation, compliance sign-off.</w:t>
            </w:r>
          </w:p>
          <w:p>
            <w:pPr>
              <w:spacing w:after="40"/>
            </w:pPr>
            <w:r>
              <w:rPr>
                <w:rFonts w:ascii="Arial" w:cs="Arial" w:eastAsia="Arial" w:hAnsi="Arial"/>
                <w:color w:val="1E1A14"/>
                <w:sz w:val="21"/>
                <w:szCs w:val="21"/>
              </w:rPr>
              <w:t xml:space="preserve">This course ends at personal. The rest of the ladder is AiBI-S and AiBI-L — not because the knowledge is more complex, but because the consequences are.</w:t>
            </w:r>
          </w:p>
        </w:tc>
      </w:tr>
    </w:tbl>
    <w:p>
      <w:pPr>
        <w:spacing w:after="160"/>
      </w:pPr>
    </w:p>
    <w:p>
      <w:pPr>
        <w:pStyle w:val="Heading3"/>
      </w:pPr>
      <w:r>
        <w:rPr>
          <w:rFonts w:ascii="Arial" w:cs="Arial" w:eastAsia="Arial" w:hAnsi="Arial"/>
          <w:b/>
          <w:bCs/>
          <w:color w:val="1E1A14"/>
          <w:sz w:val="22"/>
          <w:szCs w:val="22"/>
        </w:rPr>
        <w:t xml:space="preserve">The Skill Library Concept</w:t>
      </w:r>
    </w:p>
    <w:p>
      <w:pPr>
        <w:spacing w:after="120"/>
      </w:pPr>
      <w:r>
        <w:rPr>
          <w:rFonts w:ascii="Arial" w:cs="Arial" w:eastAsia="Arial" w:hAnsi="Arial"/>
          <w:i w:val="false"/>
          <w:iCs w:val="false"/>
          <w:color w:val="6B6355"/>
          <w:sz w:val="22"/>
          <w:szCs w:val="22"/>
        </w:rPr>
        <w:t xml:space="preserve">Skills are repeatable. Skills are shareable. One banker building a skill that saves 3 hours per week has created value for themselves. Ten bankers on the same team each having three skills they can share and combine have created institutional capability.</w:t>
      </w:r>
    </w:p>
    <w:p>
      <w:pPr>
        <w:spacing w:after="80"/>
      </w:pPr>
    </w:p>
    <w:p>
      <w:pPr>
        <w:spacing w:after="120"/>
      </w:pPr>
      <w:r>
        <w:rPr>
          <w:rFonts w:ascii="Arial" w:cs="Arial" w:eastAsia="Arial" w:hAnsi="Arial"/>
          <w:i w:val="false"/>
          <w:iCs w:val="false"/>
          <w:color w:val="6B6355"/>
          <w:sz w:val="22"/>
          <w:szCs w:val="22"/>
        </w:rPr>
        <w:t xml:space="preserve">The practical mechanism: save your skill as a .md file. Name it clearly: “BSA-SAR-Draft-Skill-v1.md”. Keep it in a shared folder your team can access. As you refine it, update the file. Others on your team can copy it, adapt it to their specific context, and contribute improvements back.</w:t>
      </w:r>
    </w:p>
    <w:p>
      <w:pPr>
        <w:spacing w:after="80"/>
      </w:pPr>
    </w:p>
    <w:p>
      <w:pPr>
        <w:spacing w:after="120"/>
      </w:pPr>
      <w:r>
        <w:rPr>
          <w:rFonts w:ascii="Arial" w:cs="Arial" w:eastAsia="Arial" w:hAnsi="Arial"/>
          <w:i w:val="false"/>
          <w:iCs w:val="false"/>
          <w:color w:val="6B6355"/>
          <w:sz w:val="22"/>
          <w:szCs w:val="22"/>
        </w:rPr>
        <w:t xml:space="preserve">This is the foundation of team-level AI capability. AiBI-P plants the seed. AiBI-S is where it grows into institutional practice.</w:t>
      </w:r>
    </w:p>
    <w:p>
      <w:pPr>
        <w:spacing w:after="160"/>
      </w:pPr>
    </w:p>
    <w:p>
      <w:pPr>
        <w:pStyle w:val="Heading3"/>
      </w:pPr>
      <w:r>
        <w:rPr>
          <w:rFonts w:ascii="Arial" w:cs="Arial" w:eastAsia="Arial" w:hAnsi="Arial"/>
          <w:b/>
          <w:bCs/>
          <w:color w:val="1E1A14"/>
          <w:sz w:val="22"/>
          <w:szCs w:val="22"/>
        </w:rPr>
        <w:t xml:space="preserve">Activity 8.1 — Iterate and Save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6"/>
              <w:left w:val="single" w:color="B8860B" w:sz="6"/>
              <w:bottom w:val="single" w:color="B8860B" w:sz="1"/>
              <w:right w:val="single" w:color="B8860B" w:sz="1"/>
            </w:tcBorders>
            <w:shd w:fill="FFF3CD" w:val="clear"/>
            <w:tcMar>
              <w:top w:type="dxa" w:w="120"/>
              <w:left w:type="dxa" w:w="160"/>
              <w:bottom w:type="dxa" w:w="120"/>
              <w:right w:type="dxa" w:w="160"/>
            </w:tcMar>
          </w:tcPr>
          <w:p>
            <w:pPr>
              <w:spacing w:after="60"/>
            </w:pPr>
            <w:r>
              <w:rPr>
                <w:rFonts w:ascii="Arial" w:cs="Arial" w:eastAsia="Arial" w:hAnsi="Arial"/>
                <w:b/>
                <w:bCs/>
                <w:color w:val="B8860B"/>
                <w:sz w:val="18"/>
                <w:szCs w:val="18"/>
              </w:rPr>
              <w:t xml:space="preserve">ACTIVITY 8.1</w:t>
            </w:r>
          </w:p>
          <w:p>
            <w:pPr>
              <w:spacing w:after="40"/>
            </w:pPr>
            <w:r>
              <w:rPr>
                <w:rFonts w:ascii="Arial" w:cs="Arial" w:eastAsia="Arial" w:hAnsi="Arial"/>
                <w:color w:val="1E1A14"/>
                <w:sz w:val="21"/>
                <w:szCs w:val="21"/>
              </w:rPr>
              <w:t xml:space="preserve">Take the skill you wrote in Activity 7.1. Run it three more times with three different inputs.</w:t>
            </w:r>
          </w:p>
          <w:p>
            <w:pPr>
              <w:spacing w:after="40"/>
            </w:pPr>
            <w:r>
              <w:rPr>
                <w:rFonts w:ascii="Arial" w:cs="Arial" w:eastAsia="Arial" w:hAnsi="Arial"/>
                <w:color w:val="1E1A14"/>
                <w:sz w:val="21"/>
                <w:szCs w:val="21"/>
              </w:rPr>
              <w:t xml:space="preserve">After each run: identify one thing that was not quite right. Apply the one-change rule to fix it.</w:t>
            </w:r>
          </w:p>
          <w:p>
            <w:pPr>
              <w:spacing w:after="40"/>
            </w:pPr>
            <w:r>
              <w:rPr>
                <w:rFonts w:ascii="Arial" w:cs="Arial" w:eastAsia="Arial" w:hAnsi="Arial"/>
                <w:color w:val="1E1A14"/>
                <w:sz w:val="21"/>
                <w:szCs w:val="21"/>
              </w:rPr>
              <w:t xml:space="preserve">After three iterations: save your final skill as a .md file. Name it using the format: [Role]-[Task]-Skill-v1.md</w:t>
            </w:r>
          </w:p>
          <w:p>
            <w:pPr>
              <w:spacing w:after="40"/>
            </w:pPr>
            <w:r>
              <w:rPr>
                <w:rFonts w:ascii="Arial" w:cs="Arial" w:eastAsia="Arial" w:hAnsi="Arial"/>
                <w:color w:val="1E1A14"/>
                <w:sz w:val="21"/>
                <w:szCs w:val="21"/>
              </w:rPr>
              <w:t xml:space="preserve">Write three sentences: what changed between version 1 and your current version, and what you would want a colleague to know before they used it.</w:t>
            </w:r>
          </w:p>
        </w:tc>
      </w:tr>
    </w:tbl>
    <w:p>
      <w:pPr>
        <w:spacing w:after="160"/>
      </w:pPr>
    </w:p>
    <w:p>
      <w:r>
        <w:br w:type="page"/>
      </w:r>
    </w:p>
    <w:p>
      <w:pPr>
        <w:pStyle w:val="Heading1"/>
      </w:pPr>
      <w:r>
        <w:rPr>
          <w:rFonts w:ascii="Arial" w:cs="Arial" w:eastAsia="Arial" w:hAnsi="Arial"/>
          <w:b/>
          <w:bCs/>
          <w:color w:val="1E1A14"/>
          <w:sz w:val="32"/>
          <w:szCs w:val="32"/>
        </w:rPr>
        <w:t xml:space="preserve">7. Pillar IV — Application</w:t>
      </w:r>
    </w:p>
    <w:p>
      <w:pPr>
        <w:spacing w:after="120"/>
      </w:pPr>
      <w:r>
        <w:rPr>
          <w:rFonts w:ascii="Arial" w:cs="Arial" w:eastAsia="Arial" w:hAnsi="Arial"/>
          <w:i/>
          <w:iCs/>
          <w:color w:val="6B6355"/>
          <w:sz w:val="22"/>
          <w:szCs w:val="22"/>
        </w:rPr>
        <w:t xml:space="preserve">One module. Every AiBI course ends with an Application module. The structure is the same across courses; the complexity scales.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B5512E" w:val="clear"/>
            <w:tcMar>
              <w:top w:type="dxa" w:w="140"/>
              <w:left w:type="dxa" w:w="140"/>
              <w:bottom w:type="dxa" w:w="140"/>
              <w:right w:type="dxa" w:w="140"/>
            </w:tcMar>
            <w:vAlign w:val="center"/>
          </w:tcPr>
          <w:p>
            <w:pPr>
              <w:jc w:val="center"/>
            </w:pPr>
            <w:r>
              <w:rPr>
                <w:rFonts w:ascii="Arial" w:cs="Arial" w:eastAsia="Arial" w:hAnsi="Arial"/>
                <w:b/>
                <w:bCs/>
                <w:color w:val="FFFFFF"/>
                <w:sz w:val="36"/>
                <w:szCs w:val="36"/>
              </w:rPr>
              <w:t xml:space="preserve">M9</w:t>
            </w:r>
          </w:p>
          <w:p>
            <w:pPr>
              <w:jc w:val="center"/>
            </w:pPr>
            <w:r>
              <w:rPr>
                <w:rFonts w:ascii="Arial" w:cs="Arial" w:eastAsia="Arial" w:hAnsi="Arial"/>
                <w:i/>
                <w:iCs/>
                <w:color w:val="FFFFFF"/>
                <w:sz w:val="14"/>
                <w:szCs w:val="14"/>
              </w:rPr>
              <w:t xml:space="preserve">Application</w:t>
            </w:r>
          </w:p>
          <w:p>
            <w:pPr>
              <w:jc w:val="center"/>
            </w:pPr>
            <w:r>
              <w:rPr>
                <w:rFonts w:ascii="Arial" w:cs="Arial" w:eastAsia="Arial" w:hAnsi="Arial"/>
                <w:color w:val="FFFFFF"/>
                <w:sz w:val="14"/>
                <w:szCs w:val="14"/>
              </w:rPr>
              <w:t xml:space="preserve">~30–45 min content + 30–45 min work product</w:t>
            </w:r>
          </w:p>
        </w:tc>
        <w:tc>
          <w:tcPr>
            <w:tcW w:type="dxa" w:w="8260"/>
            <w:tcBorders>
              <w:top w:val="none" w:color="FFFFFF" w:sz="0"/>
              <w:left w:val="none" w:color="FFFFFF" w:sz="0"/>
              <w:bottom w:val="none" w:color="FFFFFF" w:sz="0"/>
              <w:right w:val="none" w:color="FFFFFF" w:sz="0"/>
            </w:tcBorders>
            <w:shd w:fill="EDE6D8" w:val="clear"/>
            <w:tcMar>
              <w:top w:type="dxa" w:w="140"/>
              <w:left w:type="dxa" w:w="180"/>
              <w:bottom w:type="dxa" w:w="140"/>
              <w:right w:type="dxa" w:w="140"/>
            </w:tcMar>
          </w:tcPr>
          <w:p>
            <w:pPr>
              <w:spacing w:after="50"/>
            </w:pPr>
            <w:r>
              <w:rPr>
                <w:rFonts w:ascii="Arial" w:cs="Arial" w:eastAsia="Arial" w:hAnsi="Arial"/>
                <w:b/>
                <w:bCs/>
                <w:color w:val="1E1A14"/>
                <w:sz w:val="28"/>
                <w:szCs w:val="28"/>
              </w:rPr>
              <w:t xml:space="preserve">Automate 1–3 Real Tasks for Yourself</w:t>
            </w:r>
          </w:p>
          <w:p>
            <w:pPr>
              <w:spacing w:after="0"/>
            </w:pPr>
            <w:r>
              <w:rPr>
                <w:rFonts w:ascii="Arial" w:cs="Arial" w:eastAsia="Arial" w:hAnsi="Arial"/>
                <w:i/>
                <w:iCs/>
                <w:color w:val="6B6355"/>
                <w:sz w:val="21"/>
                <w:szCs w:val="21"/>
              </w:rPr>
              <w:t xml:space="preserve">Learning goal: The learner has automated one to three real tasks from their actual job using a skill, and has submitted a work product that demonstrates safe, professional AI-assisted output.</w:t>
            </w:r>
          </w:p>
        </w:tc>
      </w:tr>
    </w:tbl>
    <w:p>
      <w:pPr>
        <w:spacing w:after="80"/>
      </w:pPr>
    </w:p>
    <w:p>
      <w:pPr>
        <w:pStyle w:val="Heading3"/>
      </w:pPr>
      <w:r>
        <w:rPr>
          <w:rFonts w:ascii="Arial" w:cs="Arial" w:eastAsia="Arial" w:hAnsi="Arial"/>
          <w:b/>
          <w:bCs/>
          <w:color w:val="1E1A14"/>
          <w:sz w:val="22"/>
          <w:szCs w:val="22"/>
        </w:rPr>
        <w:t xml:space="preserve">Why Application Is a Separate Module</w:t>
      </w:r>
    </w:p>
    <w:p>
      <w:pPr>
        <w:spacing w:after="120"/>
      </w:pPr>
      <w:r>
        <w:rPr>
          <w:rFonts w:ascii="Arial" w:cs="Arial" w:eastAsia="Arial" w:hAnsi="Arial"/>
          <w:i w:val="false"/>
          <w:iCs w:val="false"/>
          <w:color w:val="6B6355"/>
          <w:sz w:val="22"/>
          <w:szCs w:val="22"/>
        </w:rPr>
        <w:t xml:space="preserve">Everything before this module is preparation. Module 9 is where the rubber meets the road. The learner does not practice on fictional scenarios — they automate something they actually do at work.</w:t>
      </w:r>
    </w:p>
    <w:p>
      <w:pPr>
        <w:spacing w:after="80"/>
      </w:pPr>
    </w:p>
    <w:p>
      <w:pPr>
        <w:spacing w:after="120"/>
      </w:pPr>
      <w:r>
        <w:rPr>
          <w:rFonts w:ascii="Arial" w:cs="Arial" w:eastAsia="Arial" w:hAnsi="Arial"/>
          <w:i w:val="false"/>
          <w:iCs w:val="false"/>
          <w:color w:val="6B6355"/>
          <w:sz w:val="22"/>
          <w:szCs w:val="22"/>
        </w:rPr>
        <w:t xml:space="preserve">The requirement is simple: produce a real output, from a real task, using a skill you built, and demonstrate that you applied the safety and quality standards from the earlier modules. No invented data. No hypothetical institution. Your job. Your task. Your output.</w:t>
      </w:r>
    </w:p>
    <w:p>
      <w:pPr>
        <w:spacing w:after="160"/>
      </w:pPr>
    </w:p>
    <w:p>
      <w:pPr>
        <w:pStyle w:val="Heading3"/>
      </w:pPr>
      <w:r>
        <w:rPr>
          <w:rFonts w:ascii="Arial" w:cs="Arial" w:eastAsia="Arial" w:hAnsi="Arial"/>
          <w:b/>
          <w:bCs/>
          <w:color w:val="1E1A14"/>
          <w:sz w:val="22"/>
          <w:szCs w:val="22"/>
        </w:rPr>
        <w:t xml:space="preserve">The Automation Identification Framework</w:t>
      </w:r>
    </w:p>
    <w:p>
      <w:pPr>
        <w:spacing w:after="120"/>
      </w:pPr>
      <w:r>
        <w:rPr>
          <w:rFonts w:ascii="Arial" w:cs="Arial" w:eastAsia="Arial" w:hAnsi="Arial"/>
          <w:i w:val="false"/>
          <w:iCs w:val="false"/>
          <w:color w:val="6B6355"/>
          <w:sz w:val="22"/>
          <w:szCs w:val="22"/>
        </w:rPr>
        <w:t xml:space="preserve">Before building automations, learners identify what to automate. Three questions:</w:t>
      </w:r>
    </w:p>
    <w:p>
      <w:pPr>
        <w:spacing w:after="80"/>
      </w:pPr>
    </w:p>
    <w:p>
      <w:pPr>
        <w:pStyle w:val="ListParagraph"/>
        <w:numPr>
          <w:ilvl w:val="0"/>
          <w:numId w:val="2"/>
        </w:numPr>
        <w:spacing w:after="80"/>
      </w:pPr>
      <w:r>
        <w:rPr>
          <w:rFonts w:ascii="Arial" w:cs="Arial" w:eastAsia="Arial" w:hAnsi="Arial"/>
          <w:color w:val="6B6355"/>
          <w:sz w:val="22"/>
          <w:szCs w:val="22"/>
        </w:rPr>
        <w:t xml:space="preserve">What do I do repeatedly that follows a consistent pattern? (At least once a week, same structure each time)</w:t>
      </w:r>
    </w:p>
    <w:p>
      <w:pPr>
        <w:pStyle w:val="ListParagraph"/>
        <w:numPr>
          <w:ilvl w:val="0"/>
          <w:numId w:val="2"/>
        </w:numPr>
        <w:spacing w:after="80"/>
      </w:pPr>
      <w:r>
        <w:rPr>
          <w:rFonts w:ascii="Arial" w:cs="Arial" w:eastAsia="Arial" w:hAnsi="Arial"/>
          <w:color w:val="6B6355"/>
          <w:sz w:val="22"/>
          <w:szCs w:val="22"/>
        </w:rPr>
        <w:t xml:space="preserve">What do I do that takes more time than it probably should, and where most of that time is spent producing output rather than thinking?</w:t>
      </w:r>
    </w:p>
    <w:p>
      <w:pPr>
        <w:pStyle w:val="ListParagraph"/>
        <w:numPr>
          <w:ilvl w:val="0"/>
          <w:numId w:val="2"/>
        </w:numPr>
        <w:spacing w:after="80"/>
      </w:pPr>
      <w:r>
        <w:rPr>
          <w:rFonts w:ascii="Arial" w:cs="Arial" w:eastAsia="Arial" w:hAnsi="Arial"/>
          <w:color w:val="6B6355"/>
          <w:sz w:val="22"/>
          <w:szCs w:val="22"/>
        </w:rPr>
        <w:t xml:space="preserve">What do I do where the output has to be consistent — where the format and quality need to be the same every time?</w:t>
      </w:r>
    </w:p>
    <w:p>
      <w:pPr>
        <w:spacing w:after="80"/>
      </w:pPr>
    </w:p>
    <w:p>
      <w:pPr>
        <w:spacing w:after="120"/>
      </w:pPr>
      <w:r>
        <w:rPr>
          <w:rFonts w:ascii="Arial" w:cs="Arial" w:eastAsia="Arial" w:hAnsi="Arial"/>
          <w:i w:val="false"/>
          <w:iCs w:val="false"/>
          <w:color w:val="6B6355"/>
          <w:sz w:val="22"/>
          <w:szCs w:val="22"/>
        </w:rPr>
        <w:t xml:space="preserve">If a task scores yes on two or three of those questions, it is an automation candidate. Module 9 asks the learner to identify 1–3 such tasks and build a skill for at least one.</w:t>
      </w:r>
    </w:p>
    <w:p>
      <w:pPr>
        <w:spacing w:after="160"/>
      </w:pPr>
    </w:p>
    <w:p>
      <w:pPr>
        <w:pStyle w:val="Heading3"/>
      </w:pPr>
      <w:r>
        <w:rPr>
          <w:rFonts w:ascii="Arial" w:cs="Arial" w:eastAsia="Arial" w:hAnsi="Arial"/>
          <w:b/>
          <w:bCs/>
          <w:color w:val="1E1A14"/>
          <w:sz w:val="22"/>
          <w:szCs w:val="22"/>
        </w:rPr>
        <w:t xml:space="preserve">Role-Specific Automation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3000"/>
        <w:gridCol w:w="2560"/>
      </w:tblGrid>
      <w:tr>
        <w:trPr>
          <w:tblHeader/>
        </w:trPr>
        <w:tc>
          <w:tcPr>
            <w:tcW w:type="dxa" w:w="10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Role</w:t>
            </w:r>
          </w:p>
        </w:tc>
        <w:tc>
          <w:tcPr>
            <w:tcW w:type="dxa" w:w="28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Tier 1 Automation (easiest, fastest)</w:t>
            </w:r>
          </w:p>
        </w:tc>
        <w:tc>
          <w:tcPr>
            <w:tcW w:type="dxa" w:w="30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Tier 2 Automation (more value, slightly more setup)</w:t>
            </w:r>
          </w:p>
        </w:tc>
        <w:tc>
          <w:tcPr>
            <w:tcW w:type="dxa" w:w="256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Tier 3 Automation (highest value, requires iteration)</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Lending</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Loan application completeness checklist from uploaded application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Pipeline summary from raw data — stage, volume, conversion rates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Credit policy application: given a loan scenario, check it against policy and flag gaps [VERIFY REQUIRED]</w:t>
            </w:r>
          </w:p>
        </w:tc>
      </w:tr>
      <w:tr>
        <w:tc>
          <w:tcPr>
            <w:tcW w:type="dxa" w:w="10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Operations</w:t>
            </w:r>
          </w:p>
        </w:tc>
        <w:tc>
          <w:tcPr>
            <w:tcW w:type="dxa" w:w="28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Meeting notes → structured action items and decisions</w:t>
            </w:r>
          </w:p>
        </w:tc>
        <w:tc>
          <w:tcPr>
            <w:tcW w:type="dxa" w:w="30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Exception report analysis — categorize, rank, flag for review</w:t>
            </w:r>
          </w:p>
        </w:tc>
        <w:tc>
          <w:tcPr>
            <w:tcW w:type="dxa" w:w="25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Operational scorecard narrative from raw metrics data</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Compliance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Regulatory change brief for staff from a regulatory document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SAR narrative draft from transaction description (BSA officer reviews every output)</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Policy gap analysis: given new guidance, identify where current policy may need updating [LEGAL REVIEW REQUIRED]</w:t>
            </w:r>
          </w:p>
        </w:tc>
      </w:tr>
      <w:tr>
        <w:tc>
          <w:tcPr>
            <w:tcW w:type="dxa" w:w="10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Finance</w:t>
            </w:r>
          </w:p>
        </w:tc>
        <w:tc>
          <w:tcPr>
            <w:tcW w:type="dxa" w:w="28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Variance analysis narrative from a budget vs. actual data table</w:t>
            </w:r>
          </w:p>
        </w:tc>
        <w:tc>
          <w:tcPr>
            <w:tcW w:type="dxa" w:w="30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Board memo draft from monthly financial package</w:t>
            </w:r>
          </w:p>
        </w:tc>
        <w:tc>
          <w:tcPr>
            <w:tcW w:type="dxa" w:w="25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Efficiency ratio trend analysis and narrative for board presentation</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Marketing</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Social media post from a product description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Email campaign copy from a product brief and target audience description</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Member segmentation narrative from demographic data</w:t>
            </w:r>
          </w:p>
        </w:tc>
      </w:tr>
    </w:tbl>
    <w:p>
      <w:pPr>
        <w:spacing w:after="160"/>
      </w:pPr>
    </w:p>
    <w:p>
      <w:pPr>
        <w:pStyle w:val="Heading3"/>
      </w:pPr>
      <w:r>
        <w:rPr>
          <w:rFonts w:ascii="Arial" w:cs="Arial" w:eastAsia="Arial" w:hAnsi="Arial"/>
          <w:b/>
          <w:bCs/>
          <w:color w:val="1E1A14"/>
          <w:sz w:val="22"/>
          <w:szCs w:val="22"/>
        </w:rPr>
        <w:t xml:space="preserve">The Quality Standard (Reinforcement)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741" w:sz="6"/>
              <w:left w:val="single" w:color="4A6741" w:sz="6"/>
              <w:bottom w:val="single" w:color="4A6741" w:sz="1"/>
              <w:right w:val="single" w:color="4A6741" w:sz="1"/>
            </w:tcBorders>
            <w:shd w:fill="EBF5F0" w:val="clear"/>
            <w:tcMar>
              <w:top w:type="dxa" w:w="120"/>
              <w:left w:type="dxa" w:w="160"/>
              <w:bottom w:type="dxa" w:w="120"/>
              <w:right w:type="dxa" w:w="160"/>
            </w:tcMar>
          </w:tcPr>
          <w:p>
            <w:pPr>
              <w:spacing w:after="60"/>
            </w:pPr>
            <w:r>
              <w:rPr>
                <w:rFonts w:ascii="Arial" w:cs="Arial" w:eastAsia="Arial" w:hAnsi="Arial"/>
                <w:b/>
                <w:bCs/>
                <w:color w:val="4A6741"/>
                <w:sz w:val="18"/>
                <w:szCs w:val="18"/>
              </w:rPr>
              <w:t xml:space="preserve">THE STANDARD FOR THIS MODULE</w:t>
            </w:r>
          </w:p>
          <w:p>
            <w:pPr>
              <w:spacing w:after="40"/>
            </w:pPr>
            <w:r>
              <w:rPr>
                <w:rFonts w:ascii="Arial" w:cs="Arial" w:eastAsia="Arial" w:hAnsi="Arial"/>
                <w:color w:val="1E1A14"/>
                <w:sz w:val="21"/>
                <w:szCs w:val="21"/>
              </w:rPr>
              <w:t xml:space="preserve">If you submitted this output to your supervisor without mentioning that AI was involved, would anyone know? And would anyone push back on the substance — not the style, but the accuracy and completeness of the content? That is the bar. Not polish. Not formatting. Substance.</w:t>
            </w:r>
          </w:p>
        </w:tc>
      </w:tr>
    </w:tbl>
    <w:p>
      <w:pPr>
        <w:spacing w:after="160"/>
      </w:pPr>
    </w:p>
    <w:p>
      <w:r>
        <w:br w:type="page"/>
      </w:r>
    </w:p>
    <w:p>
      <w:pPr>
        <w:pStyle w:val="Heading1"/>
      </w:pPr>
      <w:r>
        <w:rPr>
          <w:rFonts w:ascii="Arial" w:cs="Arial" w:eastAsia="Arial" w:hAnsi="Arial"/>
          <w:b/>
          <w:bCs/>
          <w:color w:val="1E1A14"/>
          <w:sz w:val="32"/>
          <w:szCs w:val="32"/>
        </w:rPr>
        <w:t xml:space="preserve">8. Assessed Work Product</w:t>
      </w:r>
    </w:p>
    <w:p>
      <w:pPr>
        <w:pStyle w:val="Heading2"/>
      </w:pPr>
      <w:r>
        <w:rPr>
          <w:rFonts w:ascii="Arial" w:cs="Arial" w:eastAsia="Arial" w:hAnsi="Arial"/>
          <w:b/>
          <w:bCs/>
          <w:color w:val="B5512E"/>
          <w:sz w:val="26"/>
          <w:szCs w:val="26"/>
        </w:rPr>
        <w:t xml:space="preserve">8.1 What the Learner Submits</w:t>
      </w:r>
    </w:p>
    <w:p>
      <w:pPr>
        <w:spacing w:after="120"/>
      </w:pPr>
      <w:r>
        <w:rPr>
          <w:rFonts w:ascii="Arial" w:cs="Arial" w:eastAsia="Arial" w:hAnsi="Arial"/>
          <w:i w:val="false"/>
          <w:iCs w:val="false"/>
          <w:color w:val="6B6355"/>
          <w:sz w:val="22"/>
          <w:szCs w:val="22"/>
        </w:rPr>
        <w:t xml:space="preserve">The assessment is a four-item package. Every item is required. The assessment is not a test — it is a demonstration of professional capability.</w:t>
      </w:r>
    </w:p>
    <w:p>
      <w:pPr>
        <w:spacing w:after="80"/>
      </w:pPr>
    </w:p>
    <w:p>
      <w:pPr>
        <w:pStyle w:val="ListParagraph"/>
        <w:numPr>
          <w:ilvl w:val="0"/>
          <w:numId w:val="2"/>
        </w:numPr>
        <w:spacing w:after="80"/>
      </w:pPr>
      <w:r>
        <w:rPr>
          <w:rFonts w:ascii="Arial" w:cs="Arial" w:eastAsia="Arial" w:hAnsi="Arial"/>
          <w:color w:val="6B6355"/>
          <w:sz w:val="22"/>
          <w:szCs w:val="22"/>
        </w:rPr>
        <w:t xml:space="preserve">The skill file (.md format or plain text). All five components labeled: Role, Context, Task, Format, Constraint.</w:t>
      </w:r>
    </w:p>
    <w:p>
      <w:pPr>
        <w:pStyle w:val="ListParagraph"/>
        <w:numPr>
          <w:ilvl w:val="0"/>
          <w:numId w:val="2"/>
        </w:numPr>
        <w:spacing w:after="80"/>
      </w:pPr>
      <w:r>
        <w:rPr>
          <w:rFonts w:ascii="Arial" w:cs="Arial" w:eastAsia="Arial" w:hAnsi="Arial"/>
          <w:color w:val="6B6355"/>
          <w:sz w:val="22"/>
          <w:szCs w:val="22"/>
        </w:rPr>
        <w:t xml:space="preserve">The input used (redacted of any sensitive data, replaced with [REDACTED] where necessary).</w:t>
      </w:r>
    </w:p>
    <w:p>
      <w:pPr>
        <w:pStyle w:val="ListParagraph"/>
        <w:numPr>
          <w:ilvl w:val="0"/>
          <w:numId w:val="2"/>
        </w:numPr>
        <w:spacing w:after="80"/>
      </w:pPr>
      <w:r>
        <w:rPr>
          <w:rFonts w:ascii="Arial" w:cs="Arial" w:eastAsia="Arial" w:hAnsi="Arial"/>
          <w:color w:val="6B6355"/>
          <w:sz w:val="22"/>
          <w:szCs w:val="22"/>
        </w:rPr>
        <w:t xml:space="preserve">The raw AI output (unedited — exactly what the AI produced).</w:t>
      </w:r>
    </w:p>
    <w:p>
      <w:pPr>
        <w:pStyle w:val="ListParagraph"/>
        <w:numPr>
          <w:ilvl w:val="0"/>
          <w:numId w:val="2"/>
        </w:numPr>
        <w:spacing w:after="80"/>
      </w:pPr>
      <w:r>
        <w:rPr>
          <w:rFonts w:ascii="Arial" w:cs="Arial" w:eastAsia="Arial" w:hAnsi="Arial"/>
          <w:color w:val="6B6355"/>
          <w:sz w:val="22"/>
          <w:szCs w:val="22"/>
        </w:rPr>
        <w:t xml:space="preserve">The final edited output (what they would actually submit or use professionally), plus a 4–6 sentence annotation covering: (a) any hallucination patterns found and what was done about them, (b) what was verified before finalizing, (c) one thing they would improve in the next iteration of the skill.</w:t>
      </w:r>
    </w:p>
    <w:p>
      <w:pPr>
        <w:spacing w:after="160"/>
      </w:pPr>
    </w:p>
    <w:p>
      <w:pPr>
        <w:pStyle w:val="Heading2"/>
      </w:pPr>
      <w:r>
        <w:rPr>
          <w:rFonts w:ascii="Arial" w:cs="Arial" w:eastAsia="Arial" w:hAnsi="Arial"/>
          <w:b/>
          <w:bCs/>
          <w:color w:val="B5512E"/>
          <w:sz w:val="26"/>
          <w:szCs w:val="26"/>
        </w:rPr>
        <w:t xml:space="preserve">8.2 Assessment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2226" w:sz="6"/>
              <w:left w:val="single" w:color="9B2226" w:sz="6"/>
              <w:bottom w:val="single" w:color="9B2226" w:sz="1"/>
              <w:right w:val="single" w:color="9B2226" w:sz="1"/>
            </w:tcBorders>
            <w:shd w:fill="FDECEA" w:val="clear"/>
            <w:tcMar>
              <w:top w:type="dxa" w:w="120"/>
              <w:left w:type="dxa" w:w="160"/>
              <w:bottom w:type="dxa" w:w="120"/>
              <w:right w:type="dxa" w:w="160"/>
            </w:tcMar>
          </w:tcPr>
          <w:p>
            <w:pPr>
              <w:spacing w:after="60"/>
            </w:pPr>
            <w:r>
              <w:rPr>
                <w:rFonts w:ascii="Arial" w:cs="Arial" w:eastAsia="Arial" w:hAnsi="Arial"/>
                <w:b/>
                <w:bCs/>
                <w:color w:val="9B2226"/>
                <w:sz w:val="18"/>
                <w:szCs w:val="18"/>
              </w:rPr>
              <w:t xml:space="preserve">ACCURACY IS THE HARD GATE</w:t>
            </w:r>
          </w:p>
          <w:p>
            <w:pPr>
              <w:spacing w:after="40"/>
            </w:pPr>
            <w:r>
              <w:rPr>
                <w:rFonts w:ascii="Arial" w:cs="Arial" w:eastAsia="Arial" w:hAnsi="Arial"/>
                <w:color w:val="1E1A14"/>
                <w:sz w:val="21"/>
                <w:szCs w:val="21"/>
              </w:rPr>
              <w:t xml:space="preserve">A score of 1 in Accuracy automatically fails the submission regardless of total score. A submission with an invented regulatory citation, a fabricated financial ratio, or a made-up precedent fails — even if every other dimension is excellent. Resubmission with feedback is available once.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1760"/>
        <w:gridCol w:w="1800"/>
        <w:gridCol w:w="2700"/>
      </w:tblGrid>
      <w:tr>
        <w:trPr>
          <w:tblHeader/>
        </w:trPr>
        <w:tc>
          <w:tcPr>
            <w:tcW w:type="dxa" w:w="14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Dimension</w:t>
            </w:r>
          </w:p>
        </w:tc>
        <w:tc>
          <w:tcPr>
            <w:tcW w:type="dxa" w:w="17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1 — Does Not Meet</w:t>
            </w:r>
          </w:p>
        </w:tc>
        <w:tc>
          <w:tcPr>
            <w:tcW w:type="dxa" w:w="176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2 — Approaching</w:t>
            </w:r>
          </w:p>
        </w:tc>
        <w:tc>
          <w:tcPr>
            <w:tcW w:type="dxa" w:w="18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3 — Meets Standard</w:t>
            </w:r>
          </w:p>
        </w:tc>
        <w:tc>
          <w:tcPr>
            <w:tcW w:type="dxa" w:w="27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4 — Exceeds</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Accuracy</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Contains factual errors, unverified regulatory citations, fabricated ratios, or invented precedent.</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Mostly accurate. Minor unverified details that do not affect substance.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Every factual claim is verifiable from a named source. No unverified citations.</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All claims sourced or flagged [VERIFY]. Proactively identifies limitations and assumptions in the annotation.</w:t>
            </w:r>
          </w:p>
        </w:tc>
      </w:tr>
      <w:tr>
        <w:tc>
          <w:tcPr>
            <w:tcW w:type="dxa" w:w="14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Completeness</w:t>
            </w:r>
          </w:p>
        </w:tc>
        <w:tc>
          <w:tcPr>
            <w:tcW w:type="dxa" w:w="17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Missing material elements a domain expert would immediately notice.</w:t>
            </w:r>
          </w:p>
        </w:tc>
        <w:tc>
          <w:tcPr>
            <w:tcW w:type="dxa" w:w="17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Most components present. Minor gaps a supervisor might catch.</w:t>
            </w:r>
          </w:p>
        </w:tc>
        <w:tc>
          <w:tcPr>
            <w:tcW w:type="dxa" w:w="18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Complete. A competent reviewer finds no material omissions.</w:t>
            </w:r>
          </w:p>
        </w:tc>
        <w:tc>
          <w:tcPr>
            <w:tcW w:type="dxa" w:w="27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Comprehensive. Anticipates follow-up questions with relevant supporting detail.</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Tone and Voice</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Generic. Obviously AI-voiced. Does not reflect banking professional context.</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Functional but does not feel institutional. Would need rewriting.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Matches institutional voice and professional banking conventions.</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Indistinguishable from the learner’s best manual work. Institution-specific.</w:t>
            </w:r>
          </w:p>
        </w:tc>
      </w:tr>
      <w:tr>
        <w:tc>
          <w:tcPr>
            <w:tcW w:type="dxa" w:w="14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Judgment</w:t>
            </w:r>
          </w:p>
        </w:tc>
        <w:tc>
          <w:tcPr>
            <w:tcW w:type="dxa" w:w="17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Draws conclusions AI should not draw. Uses output uncritically with no verification.</w:t>
            </w:r>
          </w:p>
        </w:tc>
        <w:tc>
          <w:tcPr>
            <w:tcW w:type="dxa" w:w="17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Shows some caution but over-relies on AI output without independent review.</w:t>
            </w:r>
          </w:p>
        </w:tc>
        <w:tc>
          <w:tcPr>
            <w:tcW w:type="dxa" w:w="18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Correctly identifies what required human verification. Shows clear judgment about AI limitations.</w:t>
            </w:r>
          </w:p>
        </w:tc>
        <w:tc>
          <w:tcPr>
            <w:tcW w:type="dxa" w:w="27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Exemplary verification discipline. Annotation documents all verification steps taken.</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Skill Quality</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Skill is missing components, contains contradictions, or would not produce consistent output.</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Skill has most components but one or more are vague or underspecified.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Skill has all five components, is specific enough to produce consistent output, and contains appropriate constraints.</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Skill is portable, well-structured, and could be handed to a colleague immediately. The annotation identifies one specific improvement for the next iteration.</w:t>
            </w:r>
          </w:p>
        </w:tc>
      </w:tr>
    </w:tbl>
    <w:p>
      <w:pPr>
        <w:spacing w:after="80"/>
      </w:pPr>
    </w:p>
    <w:p>
      <w:pPr>
        <w:spacing w:after="120"/>
      </w:pPr>
      <w:r>
        <w:rPr>
          <w:rFonts w:ascii="Arial" w:cs="Arial" w:eastAsia="Arial" w:hAnsi="Arial"/>
          <w:i w:val="false"/>
          <w:iCs w:val="false"/>
          <w:color w:val="6B6355"/>
          <w:sz w:val="22"/>
          <w:szCs w:val="22"/>
        </w:rPr>
        <w:t xml:space="preserve">Passing score: 14 or above (out of 20), with minimum 3 on Accuracy.</w:t>
      </w:r>
    </w:p>
    <w:p>
      <w:pPr>
        <w:spacing w:after="160"/>
      </w:pPr>
    </w:p>
    <w:p>
      <w:pPr>
        <w:pStyle w:val="Heading2"/>
      </w:pPr>
      <w:r>
        <w:rPr>
          <w:rFonts w:ascii="Arial" w:cs="Arial" w:eastAsia="Arial" w:hAnsi="Arial"/>
          <w:b/>
          <w:bCs/>
          <w:color w:val="B5512E"/>
          <w:sz w:val="26"/>
          <w:szCs w:val="26"/>
        </w:rPr>
        <w:t xml:space="preserve">8.3 Resubmission Policy</w:t>
      </w:r>
    </w:p>
    <w:p>
      <w:pPr>
        <w:spacing w:after="120"/>
      </w:pPr>
      <w:r>
        <w:rPr>
          <w:rFonts w:ascii="Arial" w:cs="Arial" w:eastAsia="Arial" w:hAnsi="Arial"/>
          <w:i w:val="false"/>
          <w:iCs w:val="false"/>
          <w:color w:val="6B6355"/>
          <w:sz w:val="22"/>
          <w:szCs w:val="22"/>
        </w:rPr>
        <w:t xml:space="preserve">One resubmission permitted. On initial failure, the learner receives written feedback identifying the specific dimension(s) that fell short and actionable guidance on how to address them. Resubmissions reviewed within five business days. The goal is for every learner to eventually earn the certificate.</w:t>
      </w:r>
    </w:p>
    <w:p>
      <w:pPr>
        <w:spacing w:after="160"/>
      </w:pPr>
    </w:p>
    <w:p>
      <w:pPr>
        <w:pStyle w:val="Heading2"/>
      </w:pPr>
      <w:r>
        <w:rPr>
          <w:rFonts w:ascii="Arial" w:cs="Arial" w:eastAsia="Arial" w:hAnsi="Arial"/>
          <w:b/>
          <w:bCs/>
          <w:color w:val="B5512E"/>
          <w:sz w:val="26"/>
          <w:szCs w:val="26"/>
        </w:rPr>
        <w:t xml:space="preserve">8.4 Reviewer Calibration</w:t>
      </w:r>
    </w:p>
    <w:p>
      <w:pPr>
        <w:spacing w:after="120"/>
      </w:pPr>
      <w:r>
        <w:rPr>
          <w:rFonts w:ascii="Arial" w:cs="Arial" w:eastAsia="Arial" w:hAnsi="Arial"/>
          <w:i w:val="false"/>
          <w:iCs w:val="false"/>
          <w:color w:val="6B6355"/>
          <w:sz w:val="22"/>
          <w:szCs w:val="22"/>
        </w:rPr>
        <w:t xml:space="preserve">All work products reviewed by a certified AiBI reviewer (any AiBI-S or AiBI-L holder). Reviewers calibrated using a shared set of anchor submissions — one per score level per dimension. New reviewers must score five anchor submissions within one point of established scores before reviewing live submissions.</w:t>
      </w:r>
    </w:p>
    <w:p>
      <w:pPr>
        <w:spacing w:after="160"/>
      </w:pPr>
    </w:p>
    <w:p>
      <w:r>
        <w:br w:type="page"/>
      </w:r>
    </w:p>
    <w:p>
      <w:pPr>
        <w:pStyle w:val="Heading1"/>
      </w:pPr>
      <w:r>
        <w:rPr>
          <w:rFonts w:ascii="Arial" w:cs="Arial" w:eastAsia="Arial" w:hAnsi="Arial"/>
          <w:b/>
          <w:bCs/>
          <w:color w:val="1E1A14"/>
          <w:sz w:val="32"/>
          <w:szCs w:val="32"/>
        </w:rPr>
        <w:t xml:space="preserve">9. Downloadable Artifacts</w:t>
      </w:r>
    </w:p>
    <w:p>
      <w:pPr>
        <w:spacing w:after="120"/>
      </w:pPr>
      <w:r>
        <w:rPr>
          <w:rFonts w:ascii="Arial" w:cs="Arial" w:eastAsia="Arial" w:hAnsi="Arial"/>
          <w:i w:val="false"/>
          <w:iCs w:val="false"/>
          <w:color w:val="6B6355"/>
          <w:sz w:val="22"/>
          <w:szCs w:val="22"/>
        </w:rPr>
        <w:t xml:space="preserve">AiBI-P produces five tangible artifacts the learner keeps and uses after the course ends. These are not supplementary materials — they are deliverables.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400"/>
        <w:gridCol w:w="4360"/>
      </w:tblGrid>
      <w:tr>
        <w:trPr>
          <w:tblHeader/>
        </w:trPr>
        <w:tc>
          <w:tcPr>
            <w:tcW w:type="dxa" w:w="16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Artifact</w:t>
            </w:r>
          </w:p>
        </w:tc>
        <w:tc>
          <w:tcPr>
            <w:tcW w:type="dxa" w:w="20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Triggered By</w:t>
            </w:r>
          </w:p>
        </w:tc>
        <w:tc>
          <w:tcPr>
            <w:tcW w:type="dxa" w:w="14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Format</w:t>
            </w:r>
          </w:p>
        </w:tc>
        <w:tc>
          <w:tcPr>
            <w:tcW w:type="dxa" w:w="436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Contents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1. Regulatory Cheatsheet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Module 1 Activity 1.1 completion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One-page PDF, date-stamped, version-controlled</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Five regulatory frameworks, their staff-level implications, and the AIEOG vocabulary every banker needs to know. Updated as new guidance is issued.</w:t>
            </w:r>
          </w:p>
        </w:tc>
      </w:tr>
      <w:tr>
        <w:tc>
          <w:tcPr>
            <w:tcW w:type="dxa" w:w="16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2. Acceptable Use Card</w:t>
            </w:r>
          </w:p>
        </w:tc>
        <w:tc>
          <w:tcPr>
            <w:tcW w:type="dxa" w:w="20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Module 5 Activity 5.2 completion</w:t>
            </w:r>
          </w:p>
        </w:tc>
        <w:tc>
          <w:tcPr>
            <w:tcW w:type="dxa" w:w="14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Single-page PDF, personalized to learner’s role</w:t>
            </w:r>
          </w:p>
        </w:tc>
        <w:tc>
          <w:tcPr>
            <w:tcW w:type="dxa" w:w="43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Four fields: authorized tools, data tier by tool, what to do when unsure, point of contact. Downloadable and printable.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3. Skill Template Library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Module 6 completion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Formatted PDF + five .md skill starter files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Five role-specific skill starters (Meeting Summary, Regulatory Research, Loan Pipeline, Exception Report, Marketing Content), each as a copyable .md file with instructions for platform deployment.</w:t>
            </w:r>
          </w:p>
        </w:tc>
      </w:tr>
      <w:tr>
        <w:tc>
          <w:tcPr>
            <w:tcW w:type="dxa" w:w="16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4. My First Skill</w:t>
            </w:r>
          </w:p>
        </w:tc>
        <w:tc>
          <w:tcPr>
            <w:tcW w:type="dxa" w:w="20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Module 7 Activity 7.1 completion</w:t>
            </w:r>
          </w:p>
        </w:tc>
        <w:tc>
          <w:tcPr>
            <w:tcW w:type="dxa" w:w="14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.md file generated from the learner’s input</w:t>
            </w:r>
          </w:p>
        </w:tc>
        <w:tc>
          <w:tcPr>
            <w:tcW w:type="dxa" w:w="43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The learner’s own completed skill, saved and downloadable. This is the primary Creation module deliverable.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5. Platform Feature Reference Card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Module 4 completion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One-page PDF</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All six platforms, their key features, which features require paid tiers, and which features are most relevant by role.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6"/>
              <w:left w:val="single" w:color="B8860B" w:sz="6"/>
              <w:bottom w:val="single" w:color="B8860B" w:sz="1"/>
              <w:right w:val="single" w:color="B8860B" w:sz="1"/>
            </w:tcBorders>
            <w:shd w:fill="FFF3CD" w:val="clear"/>
            <w:tcMar>
              <w:top w:type="dxa" w:w="120"/>
              <w:left w:type="dxa" w:w="160"/>
              <w:bottom w:type="dxa" w:w="120"/>
              <w:right w:type="dxa" w:w="160"/>
            </w:tcMar>
          </w:tcPr>
          <w:p>
            <w:pPr>
              <w:spacing w:after="60"/>
            </w:pPr>
            <w:r>
              <w:rPr>
                <w:rFonts w:ascii="Arial" w:cs="Arial" w:eastAsia="Arial" w:hAnsi="Arial"/>
                <w:b/>
                <w:bCs/>
                <w:color w:val="B8860B"/>
                <w:sz w:val="18"/>
                <w:szCs w:val="18"/>
              </w:rPr>
              <w:t xml:space="preserve">ARTIFACT DESIGN REQUIREMENT</w:t>
            </w:r>
          </w:p>
          <w:p>
            <w:pPr>
              <w:spacing w:after="40"/>
            </w:pPr>
            <w:r>
              <w:rPr>
                <w:rFonts w:ascii="Arial" w:cs="Arial" w:eastAsia="Arial" w:hAnsi="Arial"/>
                <w:color w:val="1E1A14"/>
                <w:sz w:val="21"/>
                <w:szCs w:val="21"/>
              </w:rPr>
              <w:t xml:space="preserve">All artifacts must be designed to be forwarded. The Regulatory Cheatsheet should look credible enough to share with a board member. The Acceptable Use Card should look professional enough to be included in staff onboarding materials.</w:t>
            </w:r>
          </w:p>
          <w:p>
            <w:pPr>
              <w:spacing w:after="40"/>
            </w:pPr>
            <w:r>
              <w:rPr>
                <w:rFonts w:ascii="Arial" w:cs="Arial" w:eastAsia="Arial" w:hAnsi="Arial"/>
                <w:color w:val="1E1A14"/>
                <w:sz w:val="21"/>
                <w:szCs w:val="21"/>
              </w:rPr>
              <w:t xml:space="preserve">Design standard: terracotta and parchment color system, Cormorant serif typography, AiBI mark watermark, AIBankingInstitute.com footer, version number and date on every artifact.</w:t>
            </w:r>
          </w:p>
          <w:p>
            <w:pPr>
              <w:spacing w:after="40"/>
            </w:pPr>
            <w:r>
              <w:rPr>
                <w:rFonts w:ascii="Arial" w:cs="Arial" w:eastAsia="Arial" w:hAnsi="Arial"/>
                <w:color w:val="1E1A14"/>
                <w:sz w:val="21"/>
                <w:szCs w:val="21"/>
              </w:rPr>
              <w:t xml:space="preserve">PDFs are generated dynamically where personalized (Acceptable Use Card), or provided as static downloads where standardized (Regulatory Cheatsheet, Platform Reference Card, Skill Template Library).</w:t>
            </w:r>
          </w:p>
        </w:tc>
      </w:tr>
    </w:tbl>
    <w:p>
      <w:pPr>
        <w:spacing w:after="160"/>
      </w:pPr>
    </w:p>
    <w:p>
      <w:r>
        <w:br w:type="page"/>
      </w:r>
    </w:p>
    <w:p>
      <w:pPr>
        <w:pStyle w:val="Heading1"/>
      </w:pPr>
      <w:r>
        <w:rPr>
          <w:rFonts w:ascii="Arial" w:cs="Arial" w:eastAsia="Arial" w:hAnsi="Arial"/>
          <w:b/>
          <w:bCs/>
          <w:color w:val="1E1A14"/>
          <w:sz w:val="32"/>
          <w:szCs w:val="32"/>
        </w:rPr>
        <w:t xml:space="preserve">10. Certificate Specification</w:t>
      </w:r>
    </w:p>
    <w:p>
      <w:pPr>
        <w:pStyle w:val="Heading2"/>
      </w:pPr>
      <w:r>
        <w:rPr>
          <w:rFonts w:ascii="Arial" w:cs="Arial" w:eastAsia="Arial" w:hAnsi="Arial"/>
          <w:b/>
          <w:bCs/>
          <w:color w:val="B5512E"/>
          <w:sz w:val="26"/>
          <w:szCs w:val="26"/>
        </w:rPr>
        <w:t xml:space="preserve">10.1 Award Criteria</w:t>
      </w:r>
    </w:p>
    <w:p>
      <w:pPr>
        <w:pStyle w:val="ListParagraph"/>
        <w:numPr>
          <w:ilvl w:val="0"/>
          <w:numId w:val="2"/>
        </w:numPr>
        <w:spacing w:after="80"/>
      </w:pPr>
      <w:r>
        <w:rPr>
          <w:rFonts w:ascii="Arial" w:cs="Arial" w:eastAsia="Arial" w:hAnsi="Arial"/>
          <w:color w:val="6B6355"/>
          <w:sz w:val="22"/>
          <w:szCs w:val="22"/>
        </w:rPr>
        <w:t xml:space="preserve">All nine modules completed (all required activities submitted)</w:t>
      </w:r>
    </w:p>
    <w:p>
      <w:pPr>
        <w:pStyle w:val="ListParagraph"/>
        <w:numPr>
          <w:ilvl w:val="0"/>
          <w:numId w:val="2"/>
        </w:numPr>
        <w:spacing w:after="80"/>
      </w:pPr>
      <w:r>
        <w:rPr>
          <w:rFonts w:ascii="Arial" w:cs="Arial" w:eastAsia="Arial" w:hAnsi="Arial"/>
          <w:color w:val="6B6355"/>
          <w:sz w:val="22"/>
          <w:szCs w:val="22"/>
        </w:rPr>
        <w:t xml:space="preserve">Work product submitted and scored by a certified AiBI reviewer</w:t>
      </w:r>
    </w:p>
    <w:p>
      <w:pPr>
        <w:pStyle w:val="ListParagraph"/>
        <w:numPr>
          <w:ilvl w:val="0"/>
          <w:numId w:val="2"/>
        </w:numPr>
        <w:spacing w:after="80"/>
      </w:pPr>
      <w:r>
        <w:rPr>
          <w:rFonts w:ascii="Arial" w:cs="Arial" w:eastAsia="Arial" w:hAnsi="Arial"/>
          <w:color w:val="6B6355"/>
          <w:sz w:val="22"/>
          <w:szCs w:val="22"/>
        </w:rPr>
        <w:t xml:space="preserve">Total rubric score of 14 or above with minimum score of 3 on Accuracy</w:t>
      </w:r>
    </w:p>
    <w:p>
      <w:pPr>
        <w:spacing w:after="160"/>
      </w:pPr>
    </w:p>
    <w:p>
      <w:pPr>
        <w:pStyle w:val="Heading2"/>
      </w:pPr>
      <w:r>
        <w:rPr>
          <w:rFonts w:ascii="Arial" w:cs="Arial" w:eastAsia="Arial" w:hAnsi="Arial"/>
          <w:b/>
          <w:bCs/>
          <w:color w:val="B5512E"/>
          <w:sz w:val="26"/>
          <w:szCs w:val="26"/>
        </w:rPr>
        <w:t xml:space="preserve">10.2 Certificate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Field</w:t>
            </w:r>
          </w:p>
        </w:tc>
        <w:tc>
          <w:tcPr>
            <w:tcW w:type="dxa" w:w="42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Content</w:t>
            </w:r>
          </w:p>
        </w:tc>
        <w:tc>
          <w:tcPr>
            <w:tcW w:type="dxa" w:w="296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Typography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Recipient Name</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Full name as entered at enrollment</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Cormorant serif, 28pt</w:t>
            </w:r>
          </w:p>
        </w:tc>
      </w:tr>
      <w:tr>
        <w:tc>
          <w:tcPr>
            <w:tcW w:type="dxa" w:w="22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Designation Line</w:t>
            </w:r>
          </w:p>
        </w:tc>
        <w:tc>
          <w:tcPr>
            <w:tcW w:type="dxa" w:w="42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AiBI-P · Banking AI Practitioner</w:t>
            </w:r>
          </w:p>
        </w:tc>
        <w:tc>
          <w:tcPr>
            <w:tcW w:type="dxa" w:w="29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Cormorant SC, 18pt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Issuing Institution</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The AI Banking Institute</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Cormorant SC, 14pt</w:t>
            </w:r>
          </w:p>
        </w:tc>
      </w:tr>
      <w:tr>
        <w:tc>
          <w:tcPr>
            <w:tcW w:type="dxa" w:w="22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Date Issued</w:t>
            </w:r>
          </w:p>
        </w:tc>
        <w:tc>
          <w:tcPr>
            <w:tcW w:type="dxa" w:w="42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Month and year of work product approval</w:t>
            </w:r>
          </w:p>
        </w:tc>
        <w:tc>
          <w:tcPr>
            <w:tcW w:type="dxa" w:w="29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DM Mono, 12pt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Certificate ID</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Unique alphanumeric identifier</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DM Mono, 10pt</w:t>
            </w:r>
          </w:p>
        </w:tc>
      </w:tr>
      <w:tr>
        <w:tc>
          <w:tcPr>
            <w:tcW w:type="dxa" w:w="22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Verification URL</w:t>
            </w:r>
          </w:p>
        </w:tc>
        <w:tc>
          <w:tcPr>
            <w:tcW w:type="dxa" w:w="42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AIBankingInstitute.com/verify/[ID]</w:t>
            </w:r>
          </w:p>
        </w:tc>
        <w:tc>
          <w:tcPr>
            <w:tcW w:type="dxa" w:w="29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DM Mono, 10pt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Assessment Note</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Assessed by skill submission and work product — not a test score</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DM Sans italic, 10pt</w:t>
            </w:r>
          </w:p>
        </w:tc>
      </w:tr>
      <w:tr>
        <w:tc>
          <w:tcPr>
            <w:tcW w:type="dxa" w:w="22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Watermark</w:t>
            </w:r>
          </w:p>
        </w:tc>
        <w:tc>
          <w:tcPr>
            <w:tcW w:type="dxa" w:w="42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AiBI circular seal at 8% opacity, centered</w:t>
            </w:r>
          </w:p>
        </w:tc>
        <w:tc>
          <w:tcPr>
            <w:tcW w:type="dxa" w:w="29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Background layer</w:t>
            </w:r>
          </w:p>
        </w:tc>
      </w:tr>
    </w:tbl>
    <w:p>
      <w:pPr>
        <w:spacing w:after="160"/>
      </w:pPr>
    </w:p>
    <w:p>
      <w:pPr>
        <w:pStyle w:val="Heading2"/>
      </w:pPr>
      <w:r>
        <w:rPr>
          <w:rFonts w:ascii="Arial" w:cs="Arial" w:eastAsia="Arial" w:hAnsi="Arial"/>
          <w:b/>
          <w:bCs/>
          <w:color w:val="B5512E"/>
          <w:sz w:val="26"/>
          <w:szCs w:val="26"/>
        </w:rPr>
        <w:t xml:space="preserve">10.3 Distribution and Verification</w:t>
      </w:r>
    </w:p>
    <w:p>
      <w:pPr>
        <w:pStyle w:val="ListParagraph"/>
        <w:numPr>
          <w:ilvl w:val="0"/>
          <w:numId w:val="3"/>
        </w:numPr>
        <w:spacing w:after="80"/>
      </w:pPr>
      <w:r>
        <w:rPr>
          <w:rFonts w:ascii="Arial" w:cs="Arial" w:eastAsia="Arial" w:hAnsi="Arial"/>
          <w:color w:val="6B6355"/>
          <w:sz w:val="22"/>
          <w:szCs w:val="22"/>
        </w:rPr>
        <w:t xml:space="preserve">PDF delivered to learner email within 24 hours of reviewer approval</w:t>
      </w:r>
    </w:p>
    <w:p>
      <w:pPr>
        <w:pStyle w:val="ListParagraph"/>
        <w:numPr>
          <w:ilvl w:val="0"/>
          <w:numId w:val="3"/>
        </w:numPr>
        <w:spacing w:after="80"/>
      </w:pPr>
      <w:r>
        <w:rPr>
          <w:rFonts w:ascii="Arial" w:cs="Arial" w:eastAsia="Arial" w:hAnsi="Arial"/>
          <w:color w:val="6B6355"/>
          <w:sz w:val="22"/>
          <w:szCs w:val="22"/>
        </w:rPr>
        <w:t xml:space="preserve">Digital badge generated via Accredible, shareable to LinkedIn from the certificate email</w:t>
      </w:r>
    </w:p>
    <w:p>
      <w:pPr>
        <w:pStyle w:val="ListParagraph"/>
        <w:numPr>
          <w:ilvl w:val="0"/>
          <w:numId w:val="3"/>
        </w:numPr>
        <w:spacing w:after="80"/>
      </w:pPr>
      <w:r>
        <w:rPr>
          <w:rFonts w:ascii="Arial" w:cs="Arial" w:eastAsia="Arial" w:hAnsi="Arial"/>
          <w:color w:val="6B6355"/>
          <w:sz w:val="22"/>
          <w:szCs w:val="22"/>
        </w:rPr>
        <w:t xml:space="preserve">LinkedIn badge reads: AiBI-P · Banking AI Practitioner · The AI Banking Institute · [Month Year] · [Verify URL]</w:t>
      </w:r>
    </w:p>
    <w:p>
      <w:pPr>
        <w:pStyle w:val="ListParagraph"/>
        <w:numPr>
          <w:ilvl w:val="0"/>
          <w:numId w:val="3"/>
        </w:numPr>
        <w:spacing w:after="80"/>
      </w:pPr>
      <w:r>
        <w:rPr>
          <w:rFonts w:ascii="Arial" w:cs="Arial" w:eastAsia="Arial" w:hAnsi="Arial"/>
          <w:color w:val="6B6355"/>
          <w:sz w:val="22"/>
          <w:szCs w:val="22"/>
        </w:rPr>
        <w:t xml:space="preserve">Verification page /verify/[certificateID] returns: holder name, designation, date issued, issuing institution. No additional personal data exposed.</w:t>
      </w:r>
    </w:p>
    <w:p>
      <w:pPr>
        <w:pStyle w:val="ListParagraph"/>
        <w:numPr>
          <w:ilvl w:val="0"/>
          <w:numId w:val="3"/>
        </w:numPr>
        <w:spacing w:after="80"/>
      </w:pPr>
      <w:r>
        <w:rPr>
          <w:rFonts w:ascii="Arial" w:cs="Arial" w:eastAsia="Arial" w:hAnsi="Arial"/>
          <w:color w:val="6B6355"/>
          <w:sz w:val="22"/>
          <w:szCs w:val="22"/>
        </w:rPr>
        <w:t xml:space="preserve">Credential active for life of the designation. Recertification requirements to be established for AiBI-P v2.0 when curriculum updates are significant.</w:t>
      </w:r>
    </w:p>
    <w:p>
      <w:pPr>
        <w:spacing w:after="160"/>
      </w:pPr>
    </w:p>
    <w:p>
      <w:r>
        <w:br w:type="page"/>
      </w:r>
    </w:p>
    <w:p>
      <w:pPr>
        <w:pStyle w:val="Heading1"/>
      </w:pPr>
      <w:r>
        <w:rPr>
          <w:rFonts w:ascii="Arial" w:cs="Arial" w:eastAsia="Arial" w:hAnsi="Arial"/>
          <w:b/>
          <w:bCs/>
          <w:color w:val="1E1A14"/>
          <w:sz w:val="32"/>
          <w:szCs w:val="32"/>
        </w:rPr>
        <w:t xml:space="preserve">11. Platform and Delivery Requirements</w:t>
      </w:r>
    </w:p>
    <w:p>
      <w:pPr>
        <w:pStyle w:val="Heading2"/>
      </w:pPr>
      <w:r>
        <w:rPr>
          <w:rFonts w:ascii="Arial" w:cs="Arial" w:eastAsia="Arial" w:hAnsi="Arial"/>
          <w:b/>
          <w:bCs/>
          <w:color w:val="B5512E"/>
          <w:sz w:val="26"/>
          <w:szCs w:val="26"/>
        </w:rPr>
        <w:t xml:space="preserve">11.1 Phase 1 Delivery (Pre-Kajabi)</w:t>
      </w:r>
    </w:p>
    <w:p>
      <w:pPr>
        <w:spacing w:after="120"/>
      </w:pPr>
      <w:r>
        <w:rPr>
          <w:rFonts w:ascii="Arial" w:cs="Arial" w:eastAsia="Arial" w:hAnsi="Arial"/>
          <w:i w:val="false"/>
          <w:iCs w:val="false"/>
          <w:color w:val="6B6355"/>
          <w:sz w:val="22"/>
          <w:szCs w:val="22"/>
        </w:rPr>
        <w:t xml:space="preserve">Phase 1: course delivered as a hosted experience at AIBankingInstitute.com/courses/aibi-p. Content must be built so it migrates to Kajabi without rebuilding. Kajabi is the target LMS for Phase 2.</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Requirement</w:t>
            </w:r>
          </w:p>
        </w:tc>
        <w:tc>
          <w:tcPr>
            <w:tcW w:type="dxa" w:w="676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Specification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Progress tracking</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Module-by-module. Cannot skip ahead. Completed modules marked with check. Current module highlighted.</w:t>
            </w:r>
          </w:p>
        </w:tc>
      </w:tr>
      <w:tr>
        <w:tc>
          <w:tcPr>
            <w:tcW w:type="dxa" w:w="26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Onboarding branch</w:t>
            </w:r>
          </w:p>
        </w:tc>
        <w:tc>
          <w:tcPr>
            <w:tcW w:type="dxa" w:w="67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Three-question survey at enrollment. Routes platform content throughout course. Learner can update from profile settings.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Activity submission</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All responses saved to learner profile. Activities cannot be re-submitted after advancing (except assessed work product).</w:t>
            </w:r>
          </w:p>
        </w:tc>
      </w:tr>
      <w:tr>
        <w:tc>
          <w:tcPr>
            <w:tcW w:type="dxa" w:w="26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Resume functionality</w:t>
            </w:r>
          </w:p>
        </w:tc>
        <w:tc>
          <w:tcPr>
            <w:tcW w:type="dxa" w:w="67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Learner can leave mid-module and return to exactly where they left off, including mid-activity.</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Artifact generation</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Acceptable Use Card: dynamic PDF generated from learner’s Activity 5.2 responses. Other artifacts: static downloads triggered by module completion.</w:t>
            </w:r>
          </w:p>
        </w:tc>
      </w:tr>
      <w:tr>
        <w:tc>
          <w:tcPr>
            <w:tcW w:type="dxa" w:w="26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Skill file download</w:t>
            </w:r>
          </w:p>
        </w:tc>
        <w:tc>
          <w:tcPr>
            <w:tcW w:type="dxa" w:w="67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Learner’s completed skill from Activity 7.1 downloadable as .md file at any time post-completion.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Mobile responsive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Full course completable on iPhone Safari without horizontal scrolling. All activities functional on mobile keyboard. Minimum 14pt font on 390px viewport.</w:t>
            </w:r>
          </w:p>
        </w:tc>
      </w:tr>
      <w:tr>
        <w:tc>
          <w:tcPr>
            <w:tcW w:type="dxa" w:w="26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Completion email</w:t>
            </w:r>
          </w:p>
        </w:tc>
        <w:tc>
          <w:tcPr>
            <w:tcW w:type="dxa" w:w="67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Automatic on all nine modules complete + work product submitted. Contains submission confirmation and expected review timeline.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Certificate delivery</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PDF sent automatically within 24 hours of reviewer approval. Includes Accredible badge link.</w:t>
            </w:r>
          </w:p>
        </w:tc>
      </w:tr>
      <w:tr>
        <w:tc>
          <w:tcPr>
            <w:tcW w:type="dxa" w:w="26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Verification</w:t>
            </w:r>
          </w:p>
        </w:tc>
        <w:tc>
          <w:tcPr>
            <w:tcW w:type="dxa" w:w="67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AIBankingInstitute.com/verify/[certificateID] returns holder name, designation, date issued, institution. No additional personal data.</w:t>
            </w:r>
          </w:p>
        </w:tc>
      </w:tr>
    </w:tbl>
    <w:p>
      <w:pPr>
        <w:spacing w:after="160"/>
      </w:pPr>
    </w:p>
    <w:p>
      <w:pPr>
        <w:pStyle w:val="Heading2"/>
      </w:pPr>
      <w:r>
        <w:rPr>
          <w:rFonts w:ascii="Arial" w:cs="Arial" w:eastAsia="Arial" w:hAnsi="Arial"/>
          <w:b/>
          <w:bCs/>
          <w:color w:val="B5512E"/>
          <w:sz w:val="26"/>
          <w:szCs w:val="26"/>
        </w:rPr>
        <w:t xml:space="preserve">11.2 Analytics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Event</w:t>
            </w:r>
          </w:p>
        </w:tc>
        <w:tc>
          <w:tcPr>
            <w:tcW w:type="dxa" w:w="24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Trigger</w:t>
            </w:r>
          </w:p>
        </w:tc>
        <w:tc>
          <w:tcPr>
            <w:tcW w:type="dxa" w:w="456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Properties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course_enrolled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Learner purchases and begins onboarding</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learner_id, source, timestamp</w:t>
            </w:r>
          </w:p>
        </w:tc>
      </w:tr>
      <w:tr>
        <w:tc>
          <w:tcPr>
            <w:tcW w:type="dxa" w:w="24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onboarding_completed</w:t>
            </w:r>
          </w:p>
        </w:tc>
        <w:tc>
          <w:tcPr>
            <w:tcW w:type="dxa" w:w="24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Three-question survey submitted</w:t>
            </w:r>
          </w:p>
        </w:tc>
        <w:tc>
          <w:tcPr>
            <w:tcW w:type="dxa" w:w="45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learner_id, m365_access, paid_subscriptions, role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module_completed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Learner advances past each module</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learner_id, module_number, time_spent_min</w:t>
            </w:r>
          </w:p>
        </w:tc>
      </w:tr>
      <w:tr>
        <w:tc>
          <w:tcPr>
            <w:tcW w:type="dxa" w:w="24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artifact_downloaded</w:t>
            </w:r>
          </w:p>
        </w:tc>
        <w:tc>
          <w:tcPr>
            <w:tcW w:type="dxa" w:w="24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Any artifact PDF downloaded</w:t>
            </w:r>
          </w:p>
        </w:tc>
        <w:tc>
          <w:tcPr>
            <w:tcW w:type="dxa" w:w="45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learner_id, artifact_name, module_number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skill_saved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Learner downloads their .md skill file</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learner_id, timestamp</w:t>
            </w:r>
          </w:p>
        </w:tc>
      </w:tr>
      <w:tr>
        <w:tc>
          <w:tcPr>
            <w:tcW w:type="dxa" w:w="24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work_product_submitted</w:t>
            </w:r>
          </w:p>
        </w:tc>
        <w:tc>
          <w:tcPr>
            <w:tcW w:type="dxa" w:w="24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Assessed work product package submitted</w:t>
            </w:r>
          </w:p>
        </w:tc>
        <w:tc>
          <w:tcPr>
            <w:tcW w:type="dxa" w:w="45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learner_id, timestamp</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work_product_passed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Reviewer approves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learner_id, total_score, accuracy_score</w:t>
            </w:r>
          </w:p>
        </w:tc>
      </w:tr>
      <w:tr>
        <w:tc>
          <w:tcPr>
            <w:tcW w:type="dxa" w:w="24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work_product_failed</w:t>
            </w:r>
          </w:p>
        </w:tc>
        <w:tc>
          <w:tcPr>
            <w:tcW w:type="dxa" w:w="24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Reviewer does not approve initial submission</w:t>
            </w:r>
          </w:p>
        </w:tc>
        <w:tc>
          <w:tcPr>
            <w:tcW w:type="dxa" w:w="45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learner_id, failed_dimension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certificate_issued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Certificate PDF delivered</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learner_id, certificate_id, timestamp</w:t>
            </w:r>
          </w:p>
        </w:tc>
      </w:tr>
    </w:tbl>
    <w:p>
      <w:pPr>
        <w:spacing w:after="160"/>
      </w:pPr>
    </w:p>
    <w:p>
      <w:pPr>
        <w:pStyle w:val="Heading2"/>
      </w:pPr>
      <w:r>
        <w:rPr>
          <w:rFonts w:ascii="Arial" w:cs="Arial" w:eastAsia="Arial" w:hAnsi="Arial"/>
          <w:b/>
          <w:bCs/>
          <w:color w:val="B5512E"/>
          <w:sz w:val="26"/>
          <w:szCs w:val="26"/>
        </w:rPr>
        <w:t xml:space="preserve">11.3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System</w:t>
            </w:r>
          </w:p>
        </w:tc>
        <w:tc>
          <w:tcPr>
            <w:tcW w:type="dxa" w:w="22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Trigger</w:t>
            </w:r>
          </w:p>
        </w:tc>
        <w:tc>
          <w:tcPr>
            <w:tcW w:type="dxa" w:w="536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What Happens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ConvertKit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course_enrolled</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Tag: aibi-p-enrolled. Enters Day 0/3/7 onboarding sequence.</w:t>
            </w:r>
          </w:p>
        </w:tc>
      </w:tr>
      <w:tr>
        <w:tc>
          <w:tcPr>
            <w:tcW w:type="dxa" w:w="18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ConvertKit</w:t>
            </w:r>
          </w:p>
        </w:tc>
        <w:tc>
          <w:tcPr>
            <w:tcW w:type="dxa" w:w="22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certificate_issued</w:t>
            </w:r>
          </w:p>
        </w:tc>
        <w:tc>
          <w:tcPr>
            <w:tcW w:type="dxa" w:w="53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Tag: aibi-p-certified. Enters post-completion nurture sequence.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HubSpot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course_enrolled</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Contact property course_enrolled updated. Deal stage updated.</w:t>
            </w:r>
          </w:p>
        </w:tc>
      </w:tr>
      <w:tr>
        <w:tc>
          <w:tcPr>
            <w:tcW w:type="dxa" w:w="18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HubSpot</w:t>
            </w:r>
          </w:p>
        </w:tc>
        <w:tc>
          <w:tcPr>
            <w:tcW w:type="dxa" w:w="22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certificate_issued</w:t>
            </w:r>
          </w:p>
        </w:tc>
        <w:tc>
          <w:tcPr>
            <w:tcW w:type="dxa" w:w="53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Contact property aibi_p_certified set to true. Date recorded.</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Stripe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Purchase</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Checkout Session for $79 (individual) or institution bundle pricing. On payment.success: provision course access.</w:t>
            </w:r>
          </w:p>
        </w:tc>
      </w:tr>
      <w:tr>
        <w:tc>
          <w:tcPr>
            <w:tcW w:type="dxa" w:w="18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Accredible</w:t>
            </w:r>
          </w:p>
        </w:tc>
        <w:tc>
          <w:tcPr>
            <w:tcW w:type="dxa" w:w="22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certificate_issued</w:t>
            </w:r>
          </w:p>
        </w:tc>
        <w:tc>
          <w:tcPr>
            <w:tcW w:type="dxa" w:w="53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API call creates digital badge and certificate. Returns badge URL for email.</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Plausible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All nine events above</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Custom events fired per spec in Section 11.2.</w:t>
            </w:r>
          </w:p>
        </w:tc>
      </w:tr>
    </w:tbl>
    <w:p>
      <w:pPr>
        <w:spacing w:after="160"/>
      </w:pPr>
    </w:p>
    <w:p>
      <w:pPr>
        <w:pStyle w:val="Heading2"/>
      </w:pPr>
      <w:r>
        <w:rPr>
          <w:rFonts w:ascii="Arial" w:cs="Arial" w:eastAsia="Arial" w:hAnsi="Arial"/>
          <w:b/>
          <w:bCs/>
          <w:color w:val="B5512E"/>
          <w:sz w:val="26"/>
          <w:szCs w:val="26"/>
        </w:rPr>
        <w:t xml:space="preserve">11.4 Accessibility</w:t>
      </w:r>
    </w:p>
    <w:p>
      <w:pPr>
        <w:pStyle w:val="ListParagraph"/>
        <w:numPr>
          <w:ilvl w:val="0"/>
          <w:numId w:val="3"/>
        </w:numPr>
        <w:spacing w:after="80"/>
      </w:pPr>
      <w:r>
        <w:rPr>
          <w:rFonts w:ascii="Arial" w:cs="Arial" w:eastAsia="Arial" w:hAnsi="Arial"/>
          <w:color w:val="6B6355"/>
          <w:sz w:val="22"/>
          <w:szCs w:val="22"/>
        </w:rPr>
        <w:t xml:space="preserve">All video content (if used) has closed captions</w:t>
      </w:r>
    </w:p>
    <w:p>
      <w:pPr>
        <w:pStyle w:val="ListParagraph"/>
        <w:numPr>
          <w:ilvl w:val="0"/>
          <w:numId w:val="3"/>
        </w:numPr>
        <w:spacing w:after="80"/>
      </w:pPr>
      <w:r>
        <w:rPr>
          <w:rFonts w:ascii="Arial" w:cs="Arial" w:eastAsia="Arial" w:hAnsi="Arial"/>
          <w:color w:val="6B6355"/>
          <w:sz w:val="22"/>
          <w:szCs w:val="22"/>
        </w:rPr>
        <w:t xml:space="preserve">All interactive activities operable by keyboard without mouse</w:t>
      </w:r>
    </w:p>
    <w:p>
      <w:pPr>
        <w:pStyle w:val="ListParagraph"/>
        <w:numPr>
          <w:ilvl w:val="0"/>
          <w:numId w:val="3"/>
        </w:numPr>
        <w:spacing w:after="80"/>
      </w:pPr>
      <w:r>
        <w:rPr>
          <w:rFonts w:ascii="Arial" w:cs="Arial" w:eastAsia="Arial" w:hAnsi="Arial"/>
          <w:color w:val="6B6355"/>
          <w:sz w:val="22"/>
          <w:szCs w:val="22"/>
        </w:rPr>
        <w:t xml:space="preserve">Color is never the sole means of conveying information</w:t>
      </w:r>
    </w:p>
    <w:p>
      <w:pPr>
        <w:pStyle w:val="ListParagraph"/>
        <w:numPr>
          <w:ilvl w:val="0"/>
          <w:numId w:val="3"/>
        </w:numPr>
        <w:spacing w:after="80"/>
      </w:pPr>
      <w:r>
        <w:rPr>
          <w:rFonts w:ascii="Arial" w:cs="Arial" w:eastAsia="Arial" w:hAnsi="Arial"/>
          <w:color w:val="6B6355"/>
          <w:sz w:val="22"/>
          <w:szCs w:val="22"/>
        </w:rPr>
        <w:t xml:space="preserve">All images and icons have descriptive alt text</w:t>
      </w:r>
    </w:p>
    <w:p>
      <w:pPr>
        <w:pStyle w:val="ListParagraph"/>
        <w:numPr>
          <w:ilvl w:val="0"/>
          <w:numId w:val="3"/>
        </w:numPr>
        <w:spacing w:after="80"/>
      </w:pPr>
      <w:r>
        <w:rPr>
          <w:rFonts w:ascii="Arial" w:cs="Arial" w:eastAsia="Arial" w:hAnsi="Arial"/>
          <w:color w:val="6B6355"/>
          <w:sz w:val="22"/>
          <w:szCs w:val="22"/>
        </w:rPr>
        <w:t xml:space="preserve">Minimum color contrast ratio: 4.5:1 body text, 3:1 large text (WCAG 2.1 AA)</w:t>
      </w:r>
    </w:p>
    <w:p>
      <w:pPr>
        <w:pStyle w:val="ListParagraph"/>
        <w:numPr>
          <w:ilvl w:val="0"/>
          <w:numId w:val="3"/>
        </w:numPr>
        <w:spacing w:after="80"/>
      </w:pPr>
      <w:r>
        <w:rPr>
          <w:rFonts w:ascii="Arial" w:cs="Arial" w:eastAsia="Arial" w:hAnsi="Arial"/>
          <w:color w:val="6B6355"/>
          <w:sz w:val="22"/>
          <w:szCs w:val="22"/>
        </w:rPr>
        <w:t xml:space="preserve">Skill file downloads work without JavaScript disabled</w:t>
      </w:r>
    </w:p>
    <w:p>
      <w:pPr>
        <w:spacing w:after="160"/>
      </w:pPr>
    </w:p>
    <w:p>
      <w:r>
        <w:br w:type="page"/>
      </w:r>
    </w:p>
    <w:p>
      <w:pPr>
        <w:pStyle w:val="Heading1"/>
      </w:pPr>
      <w:r>
        <w:rPr>
          <w:rFonts w:ascii="Arial" w:cs="Arial" w:eastAsia="Arial" w:hAnsi="Arial"/>
          <w:b/>
          <w:bCs/>
          <w:color w:val="1E1A14"/>
          <w:sz w:val="32"/>
          <w:szCs w:val="32"/>
        </w:rPr>
        <w:t xml:space="preserve">12. Development Checklists</w:t>
      </w:r>
    </w:p>
    <w:p>
      <w:pPr>
        <w:pStyle w:val="Heading2"/>
      </w:pPr>
      <w:r>
        <w:rPr>
          <w:rFonts w:ascii="Arial" w:cs="Arial" w:eastAsia="Arial" w:hAnsi="Arial"/>
          <w:b/>
          <w:bCs/>
          <w:color w:val="B5512E"/>
          <w:sz w:val="26"/>
          <w:szCs w:val="26"/>
        </w:rPr>
        <w:t xml:space="preserve">12.1 Content Team</w:t>
      </w:r>
    </w:p>
    <w:p>
      <w:pPr>
        <w:spacing w:after="120"/>
      </w:pPr>
      <w:r>
        <w:rPr>
          <w:rFonts w:ascii="Arial" w:cs="Arial" w:eastAsia="Arial" w:hAnsi="Arial"/>
          <w:b/>
          <w:bCs/>
          <w:color w:val="1E1A14"/>
          <w:sz w:val="22"/>
          <w:szCs w:val="22"/>
        </w:rPr>
        <w:t xml:space="preserve">Module content</w:t>
      </w:r>
    </w:p>
    <w:p>
      <w:pPr>
        <w:pStyle w:val="ListParagraph"/>
        <w:numPr>
          <w:ilvl w:val="0"/>
          <w:numId w:val="4"/>
        </w:numPr>
        <w:spacing w:after="80"/>
      </w:pPr>
      <w:r>
        <w:rPr>
          <w:rFonts w:ascii="Arial" w:cs="Arial" w:eastAsia="Arial" w:hAnsi="Arial"/>
          <w:b w:val="false"/>
          <w:bCs w:val="false"/>
          <w:color w:val="1E1A14"/>
          <w:sz w:val="22"/>
          <w:szCs w:val="22"/>
        </w:rPr>
        <w:t xml:space="preserve">M1: Opening frame copy (regulatory landscape through 2026). Regulatory cheatsheet copy and layout.</w:t>
      </w:r>
    </w:p>
    <w:p>
      <w:pPr>
        <w:pStyle w:val="ListParagraph"/>
        <w:numPr>
          <w:ilvl w:val="0"/>
          <w:numId w:val="4"/>
        </w:numPr>
        <w:spacing w:after="80"/>
      </w:pPr>
      <w:r>
        <w:rPr>
          <w:rFonts w:ascii="Arial" w:cs="Arial" w:eastAsia="Arial" w:hAnsi="Arial"/>
          <w:b w:val="false"/>
          <w:bCs w:val="false"/>
          <w:color w:val="1E1A14"/>
          <w:sz w:val="22"/>
          <w:szCs w:val="22"/>
        </w:rPr>
        <w:t xml:space="preserve">M2: Platform comparison table copy, reviewed for accuracy as of April 2026. Onboarding survey questions.</w:t>
      </w:r>
    </w:p>
    <w:p>
      <w:pPr>
        <w:pStyle w:val="ListParagraph"/>
        <w:numPr>
          <w:ilvl w:val="0"/>
          <w:numId w:val="4"/>
        </w:numPr>
        <w:spacing w:after="80"/>
      </w:pPr>
      <w:r>
        <w:rPr>
          <w:rFonts w:ascii="Arial" w:cs="Arial" w:eastAsia="Arial" w:hAnsi="Arial"/>
          <w:b w:val="false"/>
          <w:bCs w:val="false"/>
          <w:color w:val="1E1A14"/>
          <w:sz w:val="22"/>
          <w:szCs w:val="22"/>
        </w:rPr>
        <w:t xml:space="preserve">M3: M365 Copilot activation path content. Subscription tier comparison table. Data protection language reviewed by compliance professional.</w:t>
      </w:r>
    </w:p>
    <w:p>
      <w:pPr>
        <w:pStyle w:val="ListParagraph"/>
        <w:numPr>
          <w:ilvl w:val="0"/>
          <w:numId w:val="4"/>
        </w:numPr>
        <w:spacing w:after="80"/>
      </w:pPr>
      <w:r>
        <w:rPr>
          <w:rFonts w:ascii="Arial" w:cs="Arial" w:eastAsia="Arial" w:hAnsi="Arial"/>
          <w:b w:val="false"/>
          <w:bCs w:val="false"/>
          <w:color w:val="1E1A14"/>
          <w:sz w:val="22"/>
          <w:szCs w:val="22"/>
        </w:rPr>
        <w:t xml:space="preserve">M4: Platform feature deep dive table, reviewed for accuracy. Six role-specific feature spotlights (Lending, Operations, Compliance, Finance, Marketing, IT/Executive).</w:t>
      </w:r>
    </w:p>
    <w:p>
      <w:pPr>
        <w:pStyle w:val="ListParagraph"/>
        <w:numPr>
          <w:ilvl w:val="0"/>
          <w:numId w:val="4"/>
        </w:numPr>
        <w:spacing w:after="80"/>
      </w:pPr>
      <w:r>
        <w:rPr>
          <w:rFonts w:ascii="Arial" w:cs="Arial" w:eastAsia="Arial" w:hAnsi="Arial"/>
          <w:b w:val="false"/>
          <w:bCs w:val="false"/>
          <w:color w:val="1E1A14"/>
          <w:sz w:val="22"/>
          <w:szCs w:val="22"/>
        </w:rPr>
        <w:t xml:space="preserve">M5: Shadow AI opening script. Three-tier data classification table. Six hallucination pattern catalog — each example drafted by banking-experienced writer, reviewed by compliance professional. Acceptable use card form questions.</w:t>
      </w:r>
    </w:p>
    <w:p>
      <w:pPr>
        <w:pStyle w:val="ListParagraph"/>
        <w:numPr>
          <w:ilvl w:val="0"/>
          <w:numId w:val="4"/>
        </w:numPr>
        <w:spacing w:after="80"/>
      </w:pPr>
      <w:r>
        <w:rPr>
          <w:rFonts w:ascii="Arial" w:cs="Arial" w:eastAsia="Arial" w:hAnsi="Arial"/>
          <w:b w:val="false"/>
          <w:bCs w:val="false"/>
          <w:color w:val="1E1A14"/>
          <w:sz w:val="22"/>
          <w:szCs w:val="22"/>
        </w:rPr>
        <w:t xml:space="preserve">M6: Three skill examples for Activity 6.1 (poor, mediocre, strong) — must be realistic, not obviously bad.</w:t>
      </w:r>
    </w:p>
    <w:p>
      <w:pPr>
        <w:pStyle w:val="ListParagraph"/>
        <w:numPr>
          <w:ilvl w:val="0"/>
          <w:numId w:val="4"/>
        </w:numPr>
        <w:spacing w:after="80"/>
      </w:pPr>
      <w:r>
        <w:rPr>
          <w:rFonts w:ascii="Arial" w:cs="Arial" w:eastAsia="Arial" w:hAnsi="Arial"/>
          <w:b w:val="false"/>
          <w:bCs w:val="false"/>
          <w:color w:val="1E1A14"/>
          <w:sz w:val="22"/>
          <w:szCs w:val="22"/>
        </w:rPr>
        <w:t xml:space="preserve">M7: Five role-specific skill starters reviewed and validated against actual banking workflows.</w:t>
      </w:r>
    </w:p>
    <w:p>
      <w:pPr>
        <w:pStyle w:val="ListParagraph"/>
        <w:numPr>
          <w:ilvl w:val="0"/>
          <w:numId w:val="4"/>
        </w:numPr>
        <w:spacing w:after="80"/>
      </w:pPr>
      <w:r>
        <w:rPr>
          <w:rFonts w:ascii="Arial" w:cs="Arial" w:eastAsia="Arial" w:hAnsi="Arial"/>
          <w:b w:val="false"/>
          <w:bCs w:val="false"/>
          <w:color w:val="1E1A14"/>
          <w:sz w:val="22"/>
          <w:szCs w:val="22"/>
        </w:rPr>
        <w:t xml:space="preserve">M8: Iteration protocol table. Portability demo script. Margin of error progression language.</w:t>
      </w:r>
    </w:p>
    <w:p>
      <w:pPr>
        <w:pStyle w:val="ListParagraph"/>
        <w:numPr>
          <w:ilvl w:val="0"/>
          <w:numId w:val="4"/>
        </w:numPr>
        <w:spacing w:after="80"/>
      </w:pPr>
      <w:r>
        <w:rPr>
          <w:rFonts w:ascii="Arial" w:cs="Arial" w:eastAsia="Arial" w:hAnsi="Arial"/>
          <w:b w:val="false"/>
          <w:bCs w:val="false"/>
          <w:color w:val="1E1A14"/>
          <w:sz w:val="22"/>
          <w:szCs w:val="22"/>
        </w:rPr>
        <w:t xml:space="preserve">M9: Role-specific automation examples table (all five roles). Quality standard reinforcement language.</w:t>
      </w:r>
    </w:p>
    <w:p>
      <w:pPr>
        <w:spacing w:after="80"/>
      </w:pPr>
    </w:p>
    <w:p>
      <w:pPr>
        <w:spacing w:after="120"/>
      </w:pPr>
      <w:r>
        <w:rPr>
          <w:rFonts w:ascii="Arial" w:cs="Arial" w:eastAsia="Arial" w:hAnsi="Arial"/>
          <w:b/>
          <w:bCs/>
          <w:color w:val="1E1A14"/>
          <w:sz w:val="22"/>
          <w:szCs w:val="22"/>
        </w:rPr>
        <w:t xml:space="preserve">Artifacts</w:t>
      </w:r>
    </w:p>
    <w:p>
      <w:pPr>
        <w:pStyle w:val="ListParagraph"/>
        <w:numPr>
          <w:ilvl w:val="0"/>
          <w:numId w:val="4"/>
        </w:numPr>
        <w:spacing w:after="80"/>
      </w:pPr>
      <w:r>
        <w:rPr>
          <w:rFonts w:ascii="Arial" w:cs="Arial" w:eastAsia="Arial" w:hAnsi="Arial"/>
          <w:b w:val="false"/>
          <w:bCs w:val="false"/>
          <w:color w:val="1E1A14"/>
          <w:sz w:val="22"/>
          <w:szCs w:val="22"/>
        </w:rPr>
        <w:t xml:space="preserve">Regulatory Cheatsheet: one-page PDF copy, reviewed by compliance professional, dated April 2026</w:t>
      </w:r>
    </w:p>
    <w:p>
      <w:pPr>
        <w:pStyle w:val="ListParagraph"/>
        <w:numPr>
          <w:ilvl w:val="0"/>
          <w:numId w:val="4"/>
        </w:numPr>
        <w:spacing w:after="80"/>
      </w:pPr>
      <w:r>
        <w:rPr>
          <w:rFonts w:ascii="Arial" w:cs="Arial" w:eastAsia="Arial" w:hAnsi="Arial"/>
          <w:b w:val="false"/>
          <w:bCs w:val="false"/>
          <w:color w:val="1E1A14"/>
          <w:sz w:val="22"/>
          <w:szCs w:val="22"/>
        </w:rPr>
        <w:t xml:space="preserve">Platform Feature Reference Card: one-page PDF, accuracy-reviewed</w:t>
      </w:r>
    </w:p>
    <w:p>
      <w:pPr>
        <w:pStyle w:val="ListParagraph"/>
        <w:numPr>
          <w:ilvl w:val="0"/>
          <w:numId w:val="4"/>
        </w:numPr>
        <w:spacing w:after="80"/>
      </w:pPr>
      <w:r>
        <w:rPr>
          <w:rFonts w:ascii="Arial" w:cs="Arial" w:eastAsia="Arial" w:hAnsi="Arial"/>
          <w:b w:val="false"/>
          <w:bCs w:val="false"/>
          <w:color w:val="1E1A14"/>
          <w:sz w:val="22"/>
          <w:szCs w:val="22"/>
        </w:rPr>
        <w:t xml:space="preserve">Skill Template Library: five .md files reviewed and tested on Claude, ChatGPT, and Copilot</w:t>
      </w:r>
    </w:p>
    <w:p>
      <w:pPr>
        <w:pStyle w:val="ListParagraph"/>
        <w:numPr>
          <w:ilvl w:val="0"/>
          <w:numId w:val="4"/>
        </w:numPr>
        <w:spacing w:after="80"/>
      </w:pPr>
      <w:r>
        <w:rPr>
          <w:rFonts w:ascii="Arial" w:cs="Arial" w:eastAsia="Arial" w:hAnsi="Arial"/>
          <w:b w:val="false"/>
          <w:bCs w:val="false"/>
          <w:color w:val="1E1A14"/>
          <w:sz w:val="22"/>
          <w:szCs w:val="22"/>
        </w:rPr>
        <w:t xml:space="preserve">Acceptable Use Card: four form fields, dynamic PDF generation spec</w:t>
      </w:r>
    </w:p>
    <w:p>
      <w:pPr>
        <w:spacing w:after="160"/>
      </w:pPr>
    </w:p>
    <w:p>
      <w:pPr>
        <w:pStyle w:val="Heading2"/>
      </w:pPr>
      <w:r>
        <w:rPr>
          <w:rFonts w:ascii="Arial" w:cs="Arial" w:eastAsia="Arial" w:hAnsi="Arial"/>
          <w:b/>
          <w:bCs/>
          <w:color w:val="B5512E"/>
          <w:sz w:val="26"/>
          <w:szCs w:val="26"/>
        </w:rPr>
        <w:t xml:space="preserve">12.2 Design Team</w:t>
      </w:r>
    </w:p>
    <w:p>
      <w:pPr>
        <w:pStyle w:val="ListParagraph"/>
        <w:numPr>
          <w:ilvl w:val="0"/>
          <w:numId w:val="4"/>
        </w:numPr>
        <w:spacing w:after="80"/>
      </w:pPr>
      <w:r>
        <w:rPr>
          <w:rFonts w:ascii="Arial" w:cs="Arial" w:eastAsia="Arial" w:hAnsi="Arial"/>
          <w:b w:val="false"/>
          <w:bCs w:val="false"/>
          <w:color w:val="1E1A14"/>
          <w:sz w:val="22"/>
          <w:szCs w:val="22"/>
        </w:rPr>
        <w:t xml:space="preserve">Course shell visual design (consistent with AIBankingInstitute.com brand system)</w:t>
      </w:r>
    </w:p>
    <w:p>
      <w:pPr>
        <w:pStyle w:val="ListParagraph"/>
        <w:numPr>
          <w:ilvl w:val="0"/>
          <w:numId w:val="4"/>
        </w:numPr>
        <w:spacing w:after="80"/>
      </w:pPr>
      <w:r>
        <w:rPr>
          <w:rFonts w:ascii="Arial" w:cs="Arial" w:eastAsia="Arial" w:hAnsi="Arial"/>
          <w:b w:val="false"/>
          <w:bCs w:val="false"/>
          <w:color w:val="1E1A14"/>
          <w:sz w:val="22"/>
          <w:szCs w:val="22"/>
        </w:rPr>
        <w:t xml:space="preserve">Nine module header bands (color-coded by pillar: Sage/Awareness, Cobalt/Understanding, Amber/Creation, Terra/Application)</w:t>
      </w:r>
    </w:p>
    <w:p>
      <w:pPr>
        <w:pStyle w:val="ListParagraph"/>
        <w:numPr>
          <w:ilvl w:val="0"/>
          <w:numId w:val="4"/>
        </w:numPr>
        <w:spacing w:after="80"/>
      </w:pPr>
      <w:r>
        <w:rPr>
          <w:rFonts w:ascii="Arial" w:cs="Arial" w:eastAsia="Arial" w:hAnsi="Arial"/>
          <w:b w:val="false"/>
          <w:bCs w:val="false"/>
          <w:color w:val="1E1A14"/>
          <w:sz w:val="22"/>
          <w:szCs w:val="22"/>
        </w:rPr>
        <w:t xml:space="preserve">Activity container component (visually distinct from content copy)</w:t>
      </w:r>
    </w:p>
    <w:p>
      <w:pPr>
        <w:pStyle w:val="ListParagraph"/>
        <w:numPr>
          <w:ilvl w:val="0"/>
          <w:numId w:val="4"/>
        </w:numPr>
        <w:spacing w:after="80"/>
      </w:pPr>
      <w:r>
        <w:rPr>
          <w:rFonts w:ascii="Arial" w:cs="Arial" w:eastAsia="Arial" w:hAnsi="Arial"/>
          <w:b w:val="false"/>
          <w:bCs w:val="false"/>
          <w:color w:val="1E1A14"/>
          <w:sz w:val="22"/>
          <w:szCs w:val="22"/>
        </w:rPr>
        <w:t xml:space="preserve">Progress indicator (module-level, nine steps)</w:t>
      </w:r>
    </w:p>
    <w:p>
      <w:pPr>
        <w:pStyle w:val="ListParagraph"/>
        <w:numPr>
          <w:ilvl w:val="0"/>
          <w:numId w:val="4"/>
        </w:numPr>
        <w:spacing w:after="80"/>
      </w:pPr>
      <w:r>
        <w:rPr>
          <w:rFonts w:ascii="Arial" w:cs="Arial" w:eastAsia="Arial" w:hAnsi="Arial"/>
          <w:b w:val="false"/>
          <w:bCs w:val="false"/>
          <w:color w:val="1E1A14"/>
          <w:sz w:val="22"/>
          <w:szCs w:val="22"/>
        </w:rPr>
        <w:t xml:space="preserve">Certificate design (8.5x11 landscape, print-quality PDF)</w:t>
      </w:r>
    </w:p>
    <w:p>
      <w:pPr>
        <w:pStyle w:val="ListParagraph"/>
        <w:numPr>
          <w:ilvl w:val="0"/>
          <w:numId w:val="4"/>
        </w:numPr>
        <w:spacing w:after="80"/>
      </w:pPr>
      <w:r>
        <w:rPr>
          <w:rFonts w:ascii="Arial" w:cs="Arial" w:eastAsia="Arial" w:hAnsi="Arial"/>
          <w:b w:val="false"/>
          <w:bCs w:val="false"/>
          <w:color w:val="1E1A14"/>
          <w:sz w:val="22"/>
          <w:szCs w:val="22"/>
        </w:rPr>
        <w:t xml:space="preserve">Regulatory Cheatsheet design (one-page PDF, board-shareable quality)</w:t>
      </w:r>
    </w:p>
    <w:p>
      <w:pPr>
        <w:pStyle w:val="ListParagraph"/>
        <w:numPr>
          <w:ilvl w:val="0"/>
          <w:numId w:val="4"/>
        </w:numPr>
        <w:spacing w:after="80"/>
      </w:pPr>
      <w:r>
        <w:rPr>
          <w:rFonts w:ascii="Arial" w:cs="Arial" w:eastAsia="Arial" w:hAnsi="Arial"/>
          <w:b w:val="false"/>
          <w:bCs w:val="false"/>
          <w:color w:val="1E1A14"/>
          <w:sz w:val="22"/>
          <w:szCs w:val="22"/>
        </w:rPr>
        <w:t xml:space="preserve">Platform Feature Reference Card design (one-page PDF)</w:t>
      </w:r>
    </w:p>
    <w:p>
      <w:pPr>
        <w:pStyle w:val="ListParagraph"/>
        <w:numPr>
          <w:ilvl w:val="0"/>
          <w:numId w:val="4"/>
        </w:numPr>
        <w:spacing w:after="80"/>
      </w:pPr>
      <w:r>
        <w:rPr>
          <w:rFonts w:ascii="Arial" w:cs="Arial" w:eastAsia="Arial" w:hAnsi="Arial"/>
          <w:b w:val="false"/>
          <w:bCs w:val="false"/>
          <w:color w:val="1E1A14"/>
          <w:sz w:val="22"/>
          <w:szCs w:val="22"/>
        </w:rPr>
        <w:t xml:space="preserve">Skill Template Library PDF cover and formatting</w:t>
      </w:r>
    </w:p>
    <w:p>
      <w:pPr>
        <w:pStyle w:val="ListParagraph"/>
        <w:numPr>
          <w:ilvl w:val="0"/>
          <w:numId w:val="4"/>
        </w:numPr>
        <w:spacing w:after="80"/>
      </w:pPr>
      <w:r>
        <w:rPr>
          <w:rFonts w:ascii="Arial" w:cs="Arial" w:eastAsia="Arial" w:hAnsi="Arial"/>
          <w:b w:val="false"/>
          <w:bCs w:val="false"/>
          <w:color w:val="1E1A14"/>
          <w:sz w:val="22"/>
          <w:szCs w:val="22"/>
        </w:rPr>
        <w:t xml:space="preserve">Acceptable Use Card design (single-page, dynamically generated)</w:t>
      </w:r>
    </w:p>
    <w:p>
      <w:pPr>
        <w:pStyle w:val="ListParagraph"/>
        <w:numPr>
          <w:ilvl w:val="0"/>
          <w:numId w:val="4"/>
        </w:numPr>
        <w:spacing w:after="80"/>
      </w:pPr>
      <w:r>
        <w:rPr>
          <w:rFonts w:ascii="Arial" w:cs="Arial" w:eastAsia="Arial" w:hAnsi="Arial"/>
          <w:b w:val="false"/>
          <w:bCs w:val="false"/>
          <w:color w:val="1E1A14"/>
          <w:sz w:val="22"/>
          <w:szCs w:val="22"/>
        </w:rPr>
        <w:t xml:space="preserve">Email templates: welcome, module completion, work product submitted, certificate delivered</w:t>
      </w:r>
    </w:p>
    <w:p>
      <w:pPr>
        <w:spacing w:after="160"/>
      </w:pPr>
    </w:p>
    <w:p>
      <w:pPr>
        <w:pStyle w:val="Heading2"/>
      </w:pPr>
      <w:r>
        <w:rPr>
          <w:rFonts w:ascii="Arial" w:cs="Arial" w:eastAsia="Arial" w:hAnsi="Arial"/>
          <w:b/>
          <w:bCs/>
          <w:color w:val="B5512E"/>
          <w:sz w:val="26"/>
          <w:szCs w:val="26"/>
        </w:rPr>
        <w:t xml:space="preserve">12.3 Development Team</w:t>
      </w:r>
    </w:p>
    <w:p>
      <w:pPr>
        <w:pStyle w:val="ListParagraph"/>
        <w:numPr>
          <w:ilvl w:val="0"/>
          <w:numId w:val="4"/>
        </w:numPr>
        <w:spacing w:after="80"/>
      </w:pPr>
      <w:r>
        <w:rPr>
          <w:rFonts w:ascii="Arial" w:cs="Arial" w:eastAsia="Arial" w:hAnsi="Arial"/>
          <w:b w:val="false"/>
          <w:bCs w:val="false"/>
          <w:color w:val="1E1A14"/>
          <w:sz w:val="22"/>
          <w:szCs w:val="22"/>
        </w:rPr>
        <w:t xml:space="preserve">Onboarding survey (three questions, routes course content)</w:t>
      </w:r>
    </w:p>
    <w:p>
      <w:pPr>
        <w:pStyle w:val="ListParagraph"/>
        <w:numPr>
          <w:ilvl w:val="0"/>
          <w:numId w:val="4"/>
        </w:numPr>
        <w:spacing w:after="80"/>
      </w:pPr>
      <w:r>
        <w:rPr>
          <w:rFonts w:ascii="Arial" w:cs="Arial" w:eastAsia="Arial" w:hAnsi="Arial"/>
          <w:b w:val="false"/>
          <w:bCs w:val="false"/>
          <w:color w:val="1E1A14"/>
          <w:sz w:val="22"/>
          <w:szCs w:val="22"/>
        </w:rPr>
        <w:t xml:space="preserve">Course routing and progress state management (nine modules, forward-only)</w:t>
      </w:r>
    </w:p>
    <w:p>
      <w:pPr>
        <w:pStyle w:val="ListParagraph"/>
        <w:numPr>
          <w:ilvl w:val="0"/>
          <w:numId w:val="4"/>
        </w:numPr>
        <w:spacing w:after="80"/>
      </w:pPr>
      <w:r>
        <w:rPr>
          <w:rFonts w:ascii="Arial" w:cs="Arial" w:eastAsia="Arial" w:hAnsi="Arial"/>
          <w:b w:val="false"/>
          <w:bCs w:val="false"/>
          <w:color w:val="1E1A14"/>
          <w:sz w:val="22"/>
          <w:szCs w:val="22"/>
        </w:rPr>
        <w:t xml:space="preserve">Activity submission forms with character minimums and validation</w:t>
      </w:r>
    </w:p>
    <w:p>
      <w:pPr>
        <w:pStyle w:val="ListParagraph"/>
        <w:numPr>
          <w:ilvl w:val="0"/>
          <w:numId w:val="4"/>
        </w:numPr>
        <w:spacing w:after="80"/>
      </w:pPr>
      <w:r>
        <w:rPr>
          <w:rFonts w:ascii="Arial" w:cs="Arial" w:eastAsia="Arial" w:hAnsi="Arial"/>
          <w:b w:val="false"/>
          <w:bCs w:val="false"/>
          <w:color w:val="1E1A14"/>
          <w:sz w:val="22"/>
          <w:szCs w:val="22"/>
        </w:rPr>
        <w:t xml:space="preserve">Module 3: Subscription inventory form with routing logic</w:t>
      </w:r>
    </w:p>
    <w:p>
      <w:pPr>
        <w:pStyle w:val="ListParagraph"/>
        <w:numPr>
          <w:ilvl w:val="0"/>
          <w:numId w:val="4"/>
        </w:numPr>
        <w:spacing w:after="80"/>
      </w:pPr>
      <w:r>
        <w:rPr>
          <w:rFonts w:ascii="Arial" w:cs="Arial" w:eastAsia="Arial" w:hAnsi="Arial"/>
          <w:b w:val="false"/>
          <w:bCs w:val="false"/>
          <w:color w:val="1E1A14"/>
          <w:sz w:val="22"/>
          <w:szCs w:val="22"/>
        </w:rPr>
        <w:t xml:space="preserve">Module 4: Feature discovery activity (free text, role-sensitive content surfacing)</w:t>
      </w:r>
    </w:p>
    <w:p>
      <w:pPr>
        <w:pStyle w:val="ListParagraph"/>
        <w:numPr>
          <w:ilvl w:val="0"/>
          <w:numId w:val="4"/>
        </w:numPr>
        <w:spacing w:after="80"/>
      </w:pPr>
      <w:r>
        <w:rPr>
          <w:rFonts w:ascii="Arial" w:cs="Arial" w:eastAsia="Arial" w:hAnsi="Arial"/>
          <w:b w:val="false"/>
          <w:bCs w:val="false"/>
          <w:color w:val="1E1A14"/>
          <w:sz w:val="22"/>
          <w:szCs w:val="22"/>
        </w:rPr>
        <w:t xml:space="preserve">Module 5: 20-scenario classification drill with timing and scoring</w:t>
      </w:r>
    </w:p>
    <w:p>
      <w:pPr>
        <w:pStyle w:val="ListParagraph"/>
        <w:numPr>
          <w:ilvl w:val="0"/>
          <w:numId w:val="4"/>
        </w:numPr>
        <w:spacing w:after="80"/>
      </w:pPr>
      <w:r>
        <w:rPr>
          <w:rFonts w:ascii="Arial" w:cs="Arial" w:eastAsia="Arial" w:hAnsi="Arial"/>
          <w:b w:val="false"/>
          <w:bCs w:val="false"/>
          <w:color w:val="1E1A14"/>
          <w:sz w:val="22"/>
          <w:szCs w:val="22"/>
        </w:rPr>
        <w:t xml:space="preserve">Module 6: Three-skill diagnosis activity (structured evaluation form)</w:t>
      </w:r>
    </w:p>
    <w:p>
      <w:pPr>
        <w:pStyle w:val="ListParagraph"/>
        <w:numPr>
          <w:ilvl w:val="0"/>
          <w:numId w:val="4"/>
        </w:numPr>
        <w:spacing w:after="80"/>
      </w:pPr>
      <w:r>
        <w:rPr>
          <w:rFonts w:ascii="Arial" w:cs="Arial" w:eastAsia="Arial" w:hAnsi="Arial"/>
          <w:b w:val="false"/>
          <w:bCs w:val="false"/>
          <w:color w:val="1E1A14"/>
          <w:sz w:val="22"/>
          <w:szCs w:val="22"/>
        </w:rPr>
        <w:t xml:space="preserve">Module 7: Skill builder interface with five-component labeled fields, .md file export</w:t>
      </w:r>
    </w:p>
    <w:p>
      <w:pPr>
        <w:pStyle w:val="ListParagraph"/>
        <w:numPr>
          <w:ilvl w:val="0"/>
          <w:numId w:val="4"/>
        </w:numPr>
        <w:spacing w:after="80"/>
      </w:pPr>
      <w:r>
        <w:rPr>
          <w:rFonts w:ascii="Arial" w:cs="Arial" w:eastAsia="Arial" w:hAnsi="Arial"/>
          <w:b w:val="false"/>
          <w:bCs w:val="false"/>
          <w:color w:val="1E1A14"/>
          <w:sz w:val="22"/>
          <w:szCs w:val="22"/>
        </w:rPr>
        <w:t xml:space="preserve">Module 8: Iteration tracker (skill version history)</w:t>
      </w:r>
    </w:p>
    <w:p>
      <w:pPr>
        <w:pStyle w:val="ListParagraph"/>
        <w:numPr>
          <w:ilvl w:val="0"/>
          <w:numId w:val="4"/>
        </w:numPr>
        <w:spacing w:after="80"/>
      </w:pPr>
      <w:r>
        <w:rPr>
          <w:rFonts w:ascii="Arial" w:cs="Arial" w:eastAsia="Arial" w:hAnsi="Arial"/>
          <w:b w:val="false"/>
          <w:bCs w:val="false"/>
          <w:color w:val="1E1A14"/>
          <w:sz w:val="22"/>
          <w:szCs w:val="22"/>
        </w:rPr>
        <w:t xml:space="preserve">Acceptable Use Card: dynamic PDF generation from Activity 5.2 responses</w:t>
      </w:r>
    </w:p>
    <w:p>
      <w:pPr>
        <w:pStyle w:val="ListParagraph"/>
        <w:numPr>
          <w:ilvl w:val="0"/>
          <w:numId w:val="4"/>
        </w:numPr>
        <w:spacing w:after="80"/>
      </w:pPr>
      <w:r>
        <w:rPr>
          <w:rFonts w:ascii="Arial" w:cs="Arial" w:eastAsia="Arial" w:hAnsi="Arial"/>
          <w:b w:val="false"/>
          <w:bCs w:val="false"/>
          <w:color w:val="1E1A14"/>
          <w:sz w:val="22"/>
          <w:szCs w:val="22"/>
        </w:rPr>
        <w:t xml:space="preserve">Assessed work product: four-item submission form with file upload (skill .md), text fields (input, raw output, edited output, annotation)</w:t>
      </w:r>
    </w:p>
    <w:p>
      <w:pPr>
        <w:pStyle w:val="ListParagraph"/>
        <w:numPr>
          <w:ilvl w:val="0"/>
          <w:numId w:val="4"/>
        </w:numPr>
        <w:spacing w:after="80"/>
      </w:pPr>
      <w:r>
        <w:rPr>
          <w:rFonts w:ascii="Arial" w:cs="Arial" w:eastAsia="Arial" w:hAnsi="Arial"/>
          <w:b w:val="false"/>
          <w:bCs w:val="false"/>
          <w:color w:val="1E1A14"/>
          <w:sz w:val="22"/>
          <w:szCs w:val="22"/>
        </w:rPr>
        <w:t xml:space="preserve">Reviewer queue: work product review interface with rubric scoring (five dimensions, 1–4 each, automatic fail if Accuracy = 1)</w:t>
      </w:r>
    </w:p>
    <w:p>
      <w:pPr>
        <w:pStyle w:val="ListParagraph"/>
        <w:numPr>
          <w:ilvl w:val="0"/>
          <w:numId w:val="4"/>
        </w:numPr>
        <w:spacing w:after="80"/>
      </w:pPr>
      <w:r>
        <w:rPr>
          <w:rFonts w:ascii="Arial" w:cs="Arial" w:eastAsia="Arial" w:hAnsi="Arial"/>
          <w:b w:val="false"/>
          <w:bCs w:val="false"/>
          <w:color w:val="1E1A14"/>
          <w:sz w:val="22"/>
          <w:szCs w:val="22"/>
        </w:rPr>
        <w:t xml:space="preserve">Certificate generation via Accredible API on reviewer approval</w:t>
      </w:r>
    </w:p>
    <w:p>
      <w:pPr>
        <w:pStyle w:val="ListParagraph"/>
        <w:numPr>
          <w:ilvl w:val="0"/>
          <w:numId w:val="4"/>
        </w:numPr>
        <w:spacing w:after="80"/>
      </w:pPr>
      <w:r>
        <w:rPr>
          <w:rFonts w:ascii="Arial" w:cs="Arial" w:eastAsia="Arial" w:hAnsi="Arial"/>
          <w:b w:val="false"/>
          <w:bCs w:val="false"/>
          <w:color w:val="1E1A14"/>
          <w:sz w:val="22"/>
          <w:szCs w:val="22"/>
        </w:rPr>
        <w:t xml:space="preserve">Verification endpoint: /verify/[certificateID]</w:t>
      </w:r>
    </w:p>
    <w:p>
      <w:pPr>
        <w:pStyle w:val="ListParagraph"/>
        <w:numPr>
          <w:ilvl w:val="0"/>
          <w:numId w:val="4"/>
        </w:numPr>
        <w:spacing w:after="80"/>
      </w:pPr>
      <w:r>
        <w:rPr>
          <w:rFonts w:ascii="Arial" w:cs="Arial" w:eastAsia="Arial" w:hAnsi="Arial"/>
          <w:b w:val="false"/>
          <w:bCs w:val="false"/>
          <w:color w:val="1E1A14"/>
          <w:sz w:val="22"/>
          <w:szCs w:val="22"/>
        </w:rPr>
        <w:t xml:space="preserve">All Plausible Analytics events (per Section 11.2)</w:t>
      </w:r>
    </w:p>
    <w:p>
      <w:pPr>
        <w:pStyle w:val="ListParagraph"/>
        <w:numPr>
          <w:ilvl w:val="0"/>
          <w:numId w:val="4"/>
        </w:numPr>
        <w:spacing w:after="80"/>
      </w:pPr>
      <w:r>
        <w:rPr>
          <w:rFonts w:ascii="Arial" w:cs="Arial" w:eastAsia="Arial" w:hAnsi="Arial"/>
          <w:b w:val="false"/>
          <w:bCs w:val="false"/>
          <w:color w:val="1E1A14"/>
          <w:sz w:val="22"/>
          <w:szCs w:val="22"/>
        </w:rPr>
        <w:t xml:space="preserve">ConvertKit tags on course_enrolled and certificate_issued</w:t>
      </w:r>
    </w:p>
    <w:p>
      <w:pPr>
        <w:pStyle w:val="ListParagraph"/>
        <w:numPr>
          <w:ilvl w:val="0"/>
          <w:numId w:val="4"/>
        </w:numPr>
        <w:spacing w:after="80"/>
      </w:pPr>
      <w:r>
        <w:rPr>
          <w:rFonts w:ascii="Arial" w:cs="Arial" w:eastAsia="Arial" w:hAnsi="Arial"/>
          <w:b w:val="false"/>
          <w:bCs w:val="false"/>
          <w:color w:val="1E1A14"/>
          <w:sz w:val="22"/>
          <w:szCs w:val="22"/>
        </w:rPr>
        <w:t xml:space="preserve">Stripe checkout: $79 individual, institution bundle pricing (5+ seats at 20% off)</w:t>
      </w:r>
    </w:p>
    <w:p>
      <w:pPr>
        <w:pStyle w:val="ListParagraph"/>
        <w:numPr>
          <w:ilvl w:val="0"/>
          <w:numId w:val="4"/>
        </w:numPr>
        <w:spacing w:after="80"/>
      </w:pPr>
      <w:r>
        <w:rPr>
          <w:rFonts w:ascii="Arial" w:cs="Arial" w:eastAsia="Arial" w:hAnsi="Arial"/>
          <w:b w:val="false"/>
          <w:bCs w:val="false"/>
          <w:color w:val="1E1A14"/>
          <w:sz w:val="22"/>
          <w:szCs w:val="22"/>
        </w:rPr>
        <w:t xml:space="preserve">Kajabi-compatible content structure for Phase 2 migration</w:t>
      </w:r>
    </w:p>
    <w:p>
      <w:pPr>
        <w:spacing w:after="160"/>
      </w:pPr>
    </w:p>
    <w:p>
      <w:pPr>
        <w:pStyle w:val="Heading2"/>
      </w:pPr>
      <w:r>
        <w:rPr>
          <w:rFonts w:ascii="Arial" w:cs="Arial" w:eastAsia="Arial" w:hAnsi="Arial"/>
          <w:b/>
          <w:bCs/>
          <w:color w:val="B5512E"/>
          <w:sz w:val="26"/>
          <w:szCs w:val="26"/>
        </w:rPr>
        <w:t xml:space="preserve">12.4 QA Checklist</w:t>
      </w:r>
    </w:p>
    <w:p>
      <w:pPr>
        <w:pStyle w:val="ListParagraph"/>
        <w:numPr>
          <w:ilvl w:val="0"/>
          <w:numId w:val="4"/>
        </w:numPr>
        <w:spacing w:after="80"/>
      </w:pPr>
      <w:r>
        <w:rPr>
          <w:rFonts w:ascii="Arial" w:cs="Arial" w:eastAsia="Arial" w:hAnsi="Arial"/>
          <w:b w:val="false"/>
          <w:bCs w:val="false"/>
          <w:color w:val="1E1A14"/>
          <w:sz w:val="22"/>
          <w:szCs w:val="22"/>
        </w:rPr>
        <w:t xml:space="preserve">Full course completed end-to-end on desktop (Chrome, Safari, Firefox)</w:t>
      </w:r>
    </w:p>
    <w:p>
      <w:pPr>
        <w:pStyle w:val="ListParagraph"/>
        <w:numPr>
          <w:ilvl w:val="0"/>
          <w:numId w:val="4"/>
        </w:numPr>
        <w:spacing w:after="80"/>
      </w:pPr>
      <w:r>
        <w:rPr>
          <w:rFonts w:ascii="Arial" w:cs="Arial" w:eastAsia="Arial" w:hAnsi="Arial"/>
          <w:b w:val="false"/>
          <w:bCs w:val="false"/>
          <w:color w:val="1E1A14"/>
          <w:sz w:val="22"/>
          <w:szCs w:val="22"/>
        </w:rPr>
        <w:t xml:space="preserve">Full course completed end-to-end on iPhone Safari in under 5 hours (spread across sessions)</w:t>
      </w:r>
    </w:p>
    <w:p>
      <w:pPr>
        <w:pStyle w:val="ListParagraph"/>
        <w:numPr>
          <w:ilvl w:val="0"/>
          <w:numId w:val="4"/>
        </w:numPr>
        <w:spacing w:after="80"/>
      </w:pPr>
      <w:r>
        <w:rPr>
          <w:rFonts w:ascii="Arial" w:cs="Arial" w:eastAsia="Arial" w:hAnsi="Arial"/>
          <w:b w:val="false"/>
          <w:bCs w:val="false"/>
          <w:color w:val="1E1A14"/>
          <w:sz w:val="22"/>
          <w:szCs w:val="22"/>
        </w:rPr>
        <w:t xml:space="preserve">Onboarding branch routing verified: all three question permutations tested</w:t>
      </w:r>
    </w:p>
    <w:p>
      <w:pPr>
        <w:pStyle w:val="ListParagraph"/>
        <w:numPr>
          <w:ilvl w:val="0"/>
          <w:numId w:val="4"/>
        </w:numPr>
        <w:spacing w:after="80"/>
      </w:pPr>
      <w:r>
        <w:rPr>
          <w:rFonts w:ascii="Arial" w:cs="Arial" w:eastAsia="Arial" w:hAnsi="Arial"/>
          <w:b w:val="false"/>
          <w:bCs w:val="false"/>
          <w:color w:val="1E1A14"/>
          <w:sz w:val="22"/>
          <w:szCs w:val="22"/>
        </w:rPr>
        <w:t xml:space="preserve">All five artifacts download correctly in PDF and .md format</w:t>
      </w:r>
    </w:p>
    <w:p>
      <w:pPr>
        <w:pStyle w:val="ListParagraph"/>
        <w:numPr>
          <w:ilvl w:val="0"/>
          <w:numId w:val="4"/>
        </w:numPr>
        <w:spacing w:after="80"/>
      </w:pPr>
      <w:r>
        <w:rPr>
          <w:rFonts w:ascii="Arial" w:cs="Arial" w:eastAsia="Arial" w:hAnsi="Arial"/>
          <w:b w:val="false"/>
          <w:bCs w:val="false"/>
          <w:color w:val="1E1A14"/>
          <w:sz w:val="22"/>
          <w:szCs w:val="22"/>
        </w:rPr>
        <w:t xml:space="preserve">Dynamic PDF generation (Acceptable Use Card) tested with five different role inputs</w:t>
      </w:r>
    </w:p>
    <w:p>
      <w:pPr>
        <w:pStyle w:val="ListParagraph"/>
        <w:numPr>
          <w:ilvl w:val="0"/>
          <w:numId w:val="4"/>
        </w:numPr>
        <w:spacing w:after="80"/>
      </w:pPr>
      <w:r>
        <w:rPr>
          <w:rFonts w:ascii="Arial" w:cs="Arial" w:eastAsia="Arial" w:hAnsi="Arial"/>
          <w:b w:val="false"/>
          <w:bCs w:val="false"/>
          <w:color w:val="1E1A14"/>
          <w:sz w:val="22"/>
          <w:szCs w:val="22"/>
        </w:rPr>
        <w:t xml:space="preserve">Skill .md export opens and works correctly in Claude, ChatGPT, and Copilot</w:t>
      </w:r>
    </w:p>
    <w:p>
      <w:pPr>
        <w:pStyle w:val="ListParagraph"/>
        <w:numPr>
          <w:ilvl w:val="0"/>
          <w:numId w:val="4"/>
        </w:numPr>
        <w:spacing w:after="80"/>
      </w:pPr>
      <w:r>
        <w:rPr>
          <w:rFonts w:ascii="Arial" w:cs="Arial" w:eastAsia="Arial" w:hAnsi="Arial"/>
          <w:b w:val="false"/>
          <w:bCs w:val="false"/>
          <w:color w:val="1E1A14"/>
          <w:sz w:val="22"/>
          <w:szCs w:val="22"/>
        </w:rPr>
        <w:t xml:space="preserve">Work product submission and reviewer workflow tested end-to-end</w:t>
      </w:r>
    </w:p>
    <w:p>
      <w:pPr>
        <w:pStyle w:val="ListParagraph"/>
        <w:numPr>
          <w:ilvl w:val="0"/>
          <w:numId w:val="4"/>
        </w:numPr>
        <w:spacing w:after="80"/>
      </w:pPr>
      <w:r>
        <w:rPr>
          <w:rFonts w:ascii="Arial" w:cs="Arial" w:eastAsia="Arial" w:hAnsi="Arial"/>
          <w:b w:val="false"/>
          <w:bCs w:val="false"/>
          <w:color w:val="1E1A14"/>
          <w:sz w:val="22"/>
          <w:szCs w:val="22"/>
        </w:rPr>
        <w:t xml:space="preserve">Accuracy = 1 auto-fail logic confirmed in reviewer interface</w:t>
      </w:r>
    </w:p>
    <w:p>
      <w:pPr>
        <w:pStyle w:val="ListParagraph"/>
        <w:numPr>
          <w:ilvl w:val="0"/>
          <w:numId w:val="4"/>
        </w:numPr>
        <w:spacing w:after="80"/>
      </w:pPr>
      <w:r>
        <w:rPr>
          <w:rFonts w:ascii="Arial" w:cs="Arial" w:eastAsia="Arial" w:hAnsi="Arial"/>
          <w:b w:val="false"/>
          <w:bCs w:val="false"/>
          <w:color w:val="1E1A14"/>
          <w:sz w:val="22"/>
          <w:szCs w:val="22"/>
        </w:rPr>
        <w:t xml:space="preserve">Certificate PDF generated and delivered to email within 24 hours of approval</w:t>
      </w:r>
    </w:p>
    <w:p>
      <w:pPr>
        <w:pStyle w:val="ListParagraph"/>
        <w:numPr>
          <w:ilvl w:val="0"/>
          <w:numId w:val="4"/>
        </w:numPr>
        <w:spacing w:after="80"/>
      </w:pPr>
      <w:r>
        <w:rPr>
          <w:rFonts w:ascii="Arial" w:cs="Arial" w:eastAsia="Arial" w:hAnsi="Arial"/>
          <w:b w:val="false"/>
          <w:bCs w:val="false"/>
          <w:color w:val="1E1A14"/>
          <w:sz w:val="22"/>
          <w:szCs w:val="22"/>
        </w:rPr>
        <w:t xml:space="preserve">Verification URL returns correct data, no personal data exposure beyond spec</w:t>
      </w:r>
    </w:p>
    <w:p>
      <w:pPr>
        <w:pStyle w:val="ListParagraph"/>
        <w:numPr>
          <w:ilvl w:val="0"/>
          <w:numId w:val="4"/>
        </w:numPr>
        <w:spacing w:after="80"/>
      </w:pPr>
      <w:r>
        <w:rPr>
          <w:rFonts w:ascii="Arial" w:cs="Arial" w:eastAsia="Arial" w:hAnsi="Arial"/>
          <w:b w:val="false"/>
          <w:bCs w:val="false"/>
          <w:color w:val="1E1A14"/>
          <w:sz w:val="22"/>
          <w:szCs w:val="22"/>
        </w:rPr>
        <w:t xml:space="preserve">LinkedIn badge link functional from certificate email</w:t>
      </w:r>
    </w:p>
    <w:p>
      <w:pPr>
        <w:pStyle w:val="ListParagraph"/>
        <w:numPr>
          <w:ilvl w:val="0"/>
          <w:numId w:val="4"/>
        </w:numPr>
        <w:spacing w:after="80"/>
      </w:pPr>
      <w:r>
        <w:rPr>
          <w:rFonts w:ascii="Arial" w:cs="Arial" w:eastAsia="Arial" w:hAnsi="Arial"/>
          <w:b w:val="false"/>
          <w:bCs w:val="false"/>
          <w:color w:val="1E1A14"/>
          <w:sz w:val="22"/>
          <w:szCs w:val="22"/>
        </w:rPr>
        <w:t xml:space="preserve">All nine Plausible events confirmed firing</w:t>
      </w:r>
    </w:p>
    <w:p>
      <w:pPr>
        <w:pStyle w:val="ListParagraph"/>
        <w:numPr>
          <w:ilvl w:val="0"/>
          <w:numId w:val="4"/>
        </w:numPr>
        <w:spacing w:after="80"/>
      </w:pPr>
      <w:r>
        <w:rPr>
          <w:rFonts w:ascii="Arial" w:cs="Arial" w:eastAsia="Arial" w:hAnsi="Arial"/>
          <w:b w:val="false"/>
          <w:bCs w:val="false"/>
          <w:color w:val="1E1A14"/>
          <w:sz w:val="22"/>
          <w:szCs w:val="22"/>
        </w:rPr>
        <w:t xml:space="preserve">Both ConvertKit tags confirmed applying at correct triggers</w:t>
      </w:r>
    </w:p>
    <w:p>
      <w:pPr>
        <w:pStyle w:val="ListParagraph"/>
        <w:numPr>
          <w:ilvl w:val="0"/>
          <w:numId w:val="4"/>
        </w:numPr>
        <w:spacing w:after="80"/>
      </w:pPr>
      <w:r>
        <w:rPr>
          <w:rFonts w:ascii="Arial" w:cs="Arial" w:eastAsia="Arial" w:hAnsi="Arial"/>
          <w:b w:val="false"/>
          <w:bCs w:val="false"/>
          <w:color w:val="1E1A14"/>
          <w:sz w:val="22"/>
          <w:szCs w:val="22"/>
        </w:rPr>
        <w:t xml:space="preserve">Stripe checkout tested for individual ($79) and institution bundle (5+ seats, 20% off)</w:t>
      </w:r>
    </w:p>
    <w:p>
      <w:pPr>
        <w:pStyle w:val="ListParagraph"/>
        <w:numPr>
          <w:ilvl w:val="0"/>
          <w:numId w:val="4"/>
        </w:numPr>
        <w:spacing w:after="80"/>
      </w:pPr>
      <w:r>
        <w:rPr>
          <w:rFonts w:ascii="Arial" w:cs="Arial" w:eastAsia="Arial" w:hAnsi="Arial"/>
          <w:b w:val="false"/>
          <w:bCs w:val="false"/>
          <w:color w:val="1E1A14"/>
          <w:sz w:val="22"/>
          <w:szCs w:val="22"/>
        </w:rPr>
        <w:t xml:space="preserve">Course inaccessible to non-enrolled users (paywall functional)</w:t>
      </w:r>
    </w:p>
    <w:p>
      <w:pPr>
        <w:pStyle w:val="ListParagraph"/>
        <w:numPr>
          <w:ilvl w:val="0"/>
          <w:numId w:val="4"/>
        </w:numPr>
        <w:spacing w:after="80"/>
      </w:pPr>
      <w:r>
        <w:rPr>
          <w:rFonts w:ascii="Arial" w:cs="Arial" w:eastAsia="Arial" w:hAnsi="Arial"/>
          <w:b w:val="false"/>
          <w:bCs w:val="false"/>
          <w:color w:val="1E1A14"/>
          <w:sz w:val="22"/>
          <w:szCs w:val="22"/>
        </w:rPr>
        <w:t xml:space="preserve">Course resumable from mid-activity on mobile (close browser, reopen, confirm position saved)</w:t>
      </w:r>
    </w:p>
    <w:p>
      <w:pPr>
        <w:pStyle w:val="ListParagraph"/>
        <w:numPr>
          <w:ilvl w:val="0"/>
          <w:numId w:val="4"/>
        </w:numPr>
        <w:spacing w:after="80"/>
      </w:pPr>
      <w:r>
        <w:rPr>
          <w:rFonts w:ascii="Arial" w:cs="Arial" w:eastAsia="Arial" w:hAnsi="Arial"/>
          <w:b w:val="false"/>
          <w:bCs w:val="false"/>
          <w:color w:val="1E1A14"/>
          <w:sz w:val="22"/>
          <w:szCs w:val="22"/>
        </w:rPr>
        <w:t xml:space="preserve">All regulatory content reviewed by compliance professional before launch</w:t>
      </w:r>
    </w:p>
    <w:p>
      <w:pPr>
        <w:pStyle w:val="ListParagraph"/>
        <w:numPr>
          <w:ilvl w:val="0"/>
          <w:numId w:val="4"/>
        </w:numPr>
        <w:spacing w:after="80"/>
      </w:pPr>
      <w:r>
        <w:rPr>
          <w:rFonts w:ascii="Arial" w:cs="Arial" w:eastAsia="Arial" w:hAnsi="Arial"/>
          <w:b w:val="false"/>
          <w:bCs w:val="false"/>
          <w:color w:val="1E1A14"/>
          <w:sz w:val="22"/>
          <w:szCs w:val="22"/>
        </w:rPr>
        <w:t xml:space="preserve">All hallucination pattern examples reviewed by banking professional before launch</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4" w:space="4"/>
      </w:pBdr>
      <w:tabs>
        <w:tab w:val="right" w:pos="9026"/>
      </w:tabs>
      <w:spacing w:before="0"/>
    </w:pPr>
    <w:r>
      <w:rPr>
        <w:rFonts w:ascii="Arial" w:cs="Arial" w:eastAsia="Arial" w:hAnsi="Arial"/>
        <w:color w:val="6B6355"/>
        <w:sz w:val="18"/>
        <w:szCs w:val="18"/>
      </w:rPr>
      <w:t xml:space="preserve">AiBI-P  ·  Banking AI Practitioner  ·  AIBankingInstitute.com</w:t>
    </w:r>
    <w:r>
      <w:rPr>
        <w:rFonts w:ascii="Arial" w:cs="Arial" w:eastAsia="Arial" w:hAnsi="Arial"/>
        <w:color w:val="9B9085"/>
        <w:sz w:val="18"/>
        <w:szCs w:val="18"/>
      </w:rPr>
      <w:t xml:space="preserve">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512E" w:sz="4" w:space="4"/>
      </w:pBdr>
      <w:tabs>
        <w:tab w:val="right" w:pos="9026"/>
      </w:tabs>
      <w:spacing w:after="0"/>
    </w:pPr>
    <w:r>
      <w:rPr>
        <w:rFonts w:ascii="Arial" w:cs="Arial" w:eastAsia="Arial" w:hAnsi="Arial"/>
        <w:color w:val="6B6355"/>
        <w:sz w:val="18"/>
        <w:szCs w:val="18"/>
      </w:rPr>
      <w:t xml:space="preserve">The AI Banking Institute  |  AiBI-P Comprehensive Course PRD</w:t>
    </w:r>
    <w:r>
      <w:rPr>
        <w:rFonts w:ascii="Arial" w:cs="Arial" w:eastAsia="Arial" w:hAnsi="Arial"/>
        <w:b/>
        <w:bCs/>
        <w:color w:val="B5512E"/>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5512E" w:sz="4" w:space="4"/>
      </w:pBdr>
      <w:spacing w:after="200" w:before="400"/>
      <w:outlineLvl w:val="0"/>
    </w:pPr>
    <w:rPr>
      <w:rFonts w:ascii="Arial" w:cs="Arial" w:eastAsia="Arial" w:hAnsi="Arial"/>
      <w:b/>
      <w:bCs/>
      <w:color w:val="1E1A14"/>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B5512E"/>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1E1A14"/>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2026-04-16T04:16:41.842Z</dcterms:created>
  <dcterms:modified xsi:type="dcterms:W3CDTF">2026-04-16T04:16:41.843Z</dcterms:modified>
</cp:coreProperties>
</file>

<file path=docProps/custom.xml><?xml version="1.0" encoding="utf-8"?>
<Properties xmlns="http://schemas.openxmlformats.org/officeDocument/2006/custom-properties" xmlns:vt="http://schemas.openxmlformats.org/officeDocument/2006/docPropsVTypes"/>
</file>