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pPr>
      <w:r>
        <w:rPr>
          <w:rFonts w:ascii="Arial" w:cs="Arial" w:eastAsia="Arial" w:hAnsi="Arial"/>
          <w:b/>
          <w:bCs/>
          <w:color w:val="B5512E"/>
          <w:spacing w:val="60"/>
          <w:sz w:val="20"/>
          <w:szCs w:val="20"/>
        </w:rPr>
        <w:t xml:space="preserve">THE AI BANKING INSTITUTE</w:t>
      </w:r>
    </w:p>
    <w:p>
      <w:pPr>
        <w:spacing w:after="120"/>
      </w:pPr>
      <w:r>
        <w:rPr>
          <w:rFonts w:ascii="Arial" w:cs="Arial" w:eastAsia="Arial" w:hAnsi="Arial"/>
          <w:b/>
          <w:bCs/>
          <w:color w:val="1E1A14"/>
          <w:sz w:val="52"/>
          <w:szCs w:val="52"/>
        </w:rPr>
        <w:t xml:space="preserve">Landing Page PRD</w:t>
      </w:r>
    </w:p>
    <w:p>
      <w:pPr>
        <w:spacing w:after="60"/>
      </w:pPr>
      <w:r>
        <w:rPr>
          <w:rFonts w:ascii="Arial" w:cs="Arial" w:eastAsia="Arial" w:hAnsi="Arial"/>
          <w:i/>
          <w:iCs/>
          <w:color w:val="6B6355"/>
          <w:sz w:val="28"/>
          <w:szCs w:val="28"/>
        </w:rPr>
        <w:t xml:space="preserve">AIBankingInstitute.com  ·  Homepage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
            </w:r>
          </w:p>
        </w:tc>
        <w:tc>
          <w:tcPr>
            <w:tcW w:type="dxa" w:w="6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Document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Landing Page Product Requirements</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Version</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1.0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Page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Homepage  /  Route: /</w:t>
            </w:r>
          </w:p>
        </w:tc>
      </w:tr>
      <w:tr>
        <w:tc>
          <w:tcPr>
            <w:tcW w:type="dxa" w:w="2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Date</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April 2026</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Status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Ready for Design and Development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PURPOSE OF THIS DOCUMENT</w:t>
            </w:r>
          </w:p>
          <w:p>
            <w:pPr>
              <w:spacing w:after="0"/>
            </w:pPr>
            <w:r>
              <w:rPr>
                <w:rFonts w:ascii="Arial" w:cs="Arial" w:eastAsia="Arial" w:hAnsi="Arial"/>
                <w:color w:val="1E1A14"/>
                <w:sz w:val="21"/>
                <w:szCs w:val="21"/>
              </w:rPr>
              <w:t xml:space="preserve">Specifications for the AiBI homepage only. Covers approved copy, section-by-section requirements, stats band, design standards, and the acceptance checklist. This is not a full product PRD.</w:t>
            </w:r>
          </w:p>
        </w:tc>
      </w:tr>
    </w:tbl>
    <w:p>
      <w:r>
        <w:br w:type="page"/>
      </w:r>
    </w:p>
    <w:p>
      <w:pPr>
        <w:pStyle w:val="Heading1"/>
      </w:pPr>
      <w:r>
        <w:rPr>
          <w:rFonts w:ascii="Arial" w:cs="Arial" w:eastAsia="Arial" w:hAnsi="Arial"/>
          <w:b/>
          <w:bCs/>
          <w:color w:val="1E1A14"/>
          <w:sz w:val="32"/>
          <w:szCs w:val="32"/>
        </w:rPr>
        <w:t xml:space="preserve">1. Page Goal</w:t>
      </w:r>
    </w:p>
    <w:p>
      <w:pPr>
        <w:spacing w:after="120"/>
      </w:pPr>
      <w:r>
        <w:rPr>
          <w:rFonts w:ascii="Arial" w:cs="Arial" w:eastAsia="Arial" w:hAnsi="Arial"/>
          <w:color w:val="6B6355"/>
          <w:sz w:val="22"/>
          <w:szCs w:val="22"/>
        </w:rPr>
        <w:t xml:space="preserve">The homepage has two jobs and only two jobs:</w:t>
      </w:r>
    </w:p>
    <w:p>
      <w:pPr>
        <w:spacing w:after="80"/>
      </w:pPr>
    </w:p>
    <w:p>
      <w:pPr>
        <w:pStyle w:val="ListParagraph"/>
        <w:numPr>
          <w:ilvl w:val="0"/>
          <w:numId w:val="2"/>
        </w:numPr>
        <w:spacing w:after="80"/>
      </w:pPr>
      <w:r>
        <w:rPr>
          <w:rFonts w:ascii="Arial" w:cs="Arial" w:eastAsia="Arial" w:hAnsi="Arial"/>
          <w:color w:val="6B6355"/>
          <w:sz w:val="22"/>
          <w:szCs w:val="22"/>
        </w:rPr>
        <w:t xml:space="preserve">Get a community bank CEO or executive to take the free AI readiness assessment</w:t>
      </w:r>
    </w:p>
    <w:p>
      <w:pPr>
        <w:pStyle w:val="ListParagraph"/>
        <w:numPr>
          <w:ilvl w:val="0"/>
          <w:numId w:val="2"/>
        </w:numPr>
        <w:spacing w:after="80"/>
      </w:pPr>
      <w:r>
        <w:rPr>
          <w:rFonts w:ascii="Arial" w:cs="Arial" w:eastAsia="Arial" w:hAnsi="Arial"/>
          <w:color w:val="6B6355"/>
          <w:sz w:val="22"/>
          <w:szCs w:val="22"/>
        </w:rPr>
        <w:t xml:space="preserve">If they are not ready to take the assessment, get them to the ROI calculator so the efficiency ratio math makes the case</w:t>
      </w:r>
    </w:p>
    <w:p>
      <w:pPr>
        <w:spacing w:after="160"/>
      </w:pPr>
    </w:p>
    <w:p>
      <w:pPr>
        <w:spacing w:after="120"/>
      </w:pPr>
      <w:r>
        <w:rPr>
          <w:rFonts w:ascii="Arial" w:cs="Arial" w:eastAsia="Arial" w:hAnsi="Arial"/>
          <w:color w:val="6B6355"/>
          <w:sz w:val="22"/>
          <w:szCs w:val="22"/>
        </w:rPr>
        <w:t xml:space="preserve">Every section, every line of copy, and every design decision on this page should be evaluated against one question: does this move the visitor toward the assessment CTA or the ROI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THE PRIMARY CTA</w:t>
            </w:r>
          </w:p>
          <w:p>
            <w:pPr>
              <w:spacing w:after="0"/>
            </w:pPr>
            <w:r>
              <w:rPr>
                <w:rFonts w:ascii="Arial" w:cs="Arial" w:eastAsia="Arial" w:hAnsi="Arial"/>
                <w:color w:val="1E1A14"/>
                <w:sz w:val="21"/>
                <w:szCs w:val="21"/>
              </w:rPr>
              <w:t xml:space="preserve">Take the Free Assessment. This is the only CTA that matters on the hero. Everything else on the page supports it or catches visitors who scroll past it.</w:t>
            </w:r>
          </w:p>
        </w:tc>
      </w:tr>
    </w:tbl>
    <w:p>
      <w:pPr>
        <w:spacing w:after="160"/>
      </w:pPr>
    </w:p>
    <w:p>
      <w:pPr>
        <w:pStyle w:val="Heading1"/>
      </w:pPr>
      <w:r>
        <w:rPr>
          <w:rFonts w:ascii="Arial" w:cs="Arial" w:eastAsia="Arial" w:hAnsi="Arial"/>
          <w:b/>
          <w:bCs/>
          <w:color w:val="1E1A14"/>
          <w:sz w:val="32"/>
          <w:szCs w:val="32"/>
        </w:rPr>
        <w:t xml:space="preserve">2. Approved Copy  —  Use These Exact Lines</w:t>
      </w:r>
    </w:p>
    <w:p>
      <w:pPr>
        <w:spacing w:after="120"/>
      </w:pPr>
      <w:r>
        <w:rPr>
          <w:rFonts w:ascii="Arial" w:cs="Arial" w:eastAsia="Arial" w:hAnsi="Arial"/>
          <w:color w:val="6B6355"/>
          <w:sz w:val="22"/>
          <w:szCs w:val="22"/>
        </w:rPr>
        <w:t xml:space="preserve">The copy below is approved and final. Do not workshop, paraphrase, or substitute without stakeholder sign-off.</w:t>
      </w:r>
    </w:p>
    <w:p>
      <w:pPr>
        <w:spacing w:after="160"/>
      </w:pPr>
    </w:p>
    <w:p>
      <w:pPr>
        <w:pStyle w:val="Heading2"/>
      </w:pPr>
      <w:r>
        <w:rPr>
          <w:rFonts w:ascii="Arial" w:cs="Arial" w:eastAsia="Arial" w:hAnsi="Arial"/>
          <w:b/>
          <w:bCs/>
          <w:color w:val="B5512E"/>
          <w:sz w:val="24"/>
          <w:szCs w:val="24"/>
        </w:rPr>
        <w:t xml:space="preserve">2.1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Element</w:t>
            </w:r>
          </w:p>
        </w:tc>
        <w:tc>
          <w:tcPr>
            <w:tcW w:type="dxa" w:w="3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Approved Text</w:t>
            </w:r>
          </w:p>
        </w:tc>
        <w:tc>
          <w:tcPr>
            <w:tcW w:type="dxa" w:w="41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Notes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H1 Headline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your people will actually use.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Keep as-is. Cormorant serif at display size. Do not change.</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Tagline</w:t>
            </w:r>
          </w:p>
        </w:tc>
        <w:tc>
          <w:tcPr>
            <w:tcW w:type="dxa" w:w="3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We turn your bankers into your builders.</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NEW — sits directly beneath H1. This is also the brand tagline replacing “The A-B-C of AI Banking” everywhere it appeared.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Subtitle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AI proficiency built exclusively for community banks and credit unions. Accessible for every banker on your team. Boundary-safe for your examiners. Capable of moving your efficiency ratio.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Names the three pillars without making them an acronym. Approved.</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Primary CTA</w:t>
            </w:r>
          </w:p>
        </w:tc>
        <w:tc>
          <w:tcPr>
            <w:tcW w:type="dxa" w:w="3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Take the Free Assessment</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Solid terracotta button. Keep as-is.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Secondary CTA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Model Your ROI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REPLACES “See how we work.” Links to the ROI calculator section on the same page. Outline button style.</w:t>
            </w:r>
          </w:p>
        </w:tc>
      </w:tr>
      <w:tr>
        <w:tc>
          <w:tcPr>
            <w:tcW w:type="dxa" w:w="1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Microcopy</w:t>
            </w:r>
          </w:p>
        </w:tc>
        <w:tc>
          <w:tcPr>
            <w:tcW w:type="dxa" w:w="3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8 questions · under 3 minutes · community banks only</w:t>
            </w:r>
          </w:p>
        </w:tc>
        <w:tc>
          <w:tcPr>
            <w:tcW w:type="dxa" w:w="41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Sits below the buttons. Keep as-is. This line is doing real work.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SECONDARY CTA RATIONALE</w:t>
            </w:r>
          </w:p>
          <w:p>
            <w:pPr>
              <w:spacing w:after="0"/>
            </w:pPr>
            <w:r>
              <w:rPr>
                <w:rFonts w:ascii="Arial" w:cs="Arial" w:eastAsia="Arial" w:hAnsi="Arial"/>
                <w:color w:val="1E1A14"/>
                <w:sz w:val="21"/>
                <w:szCs w:val="21"/>
              </w:rPr>
              <w:t xml:space="preserve">“See how we work” is a vague, passive CTA that an executive will scroll past. “Model Your ROI” is a concrete promise that speaks to the CFO/COO instinct. It goes somewhere specific, implies a deliverable, and creates urgency without pressure.</w:t>
            </w:r>
          </w:p>
        </w:tc>
      </w:tr>
    </w:tbl>
    <w:p>
      <w:pPr>
        <w:spacing w:after="160"/>
      </w:pPr>
    </w:p>
    <w:p>
      <w:pPr>
        <w:pStyle w:val="Heading2"/>
      </w:pPr>
      <w:r>
        <w:rPr>
          <w:rFonts w:ascii="Arial" w:cs="Arial" w:eastAsia="Arial" w:hAnsi="Arial"/>
          <w:b/>
          <w:bCs/>
          <w:color w:val="B5512E"/>
          <w:sz w:val="24"/>
          <w:szCs w:val="24"/>
        </w:rPr>
        <w:t xml:space="preserve">2.2 Nav and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Location</w:t>
            </w:r>
          </w:p>
        </w:tc>
        <w:tc>
          <w:tcPr>
            <w:tcW w:type="dxa" w:w="3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Current</w:t>
            </w:r>
          </w:p>
        </w:tc>
        <w:tc>
          <w:tcPr>
            <w:tcW w:type="dxa" w:w="4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Update To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Nav sub-tag (below wordmark)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“The A-B-C of AI Banking” or similar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Remove entirely OR show domain: aibankinginstitute.com only. Keep the nav clean.</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Footer tagline</w:t>
            </w:r>
          </w:p>
        </w:tc>
        <w:tc>
          <w:tcPr>
            <w:tcW w:type="dxa" w:w="3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“The A-B-C of AI Banking”</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“We turn your bankers into your builders.”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6"/>
              <w:left w:val="single" w:color="9B2226" w:sz="6"/>
              <w:bottom w:val="single" w:color="9B2226" w:sz="1"/>
              <w:right w:val="single" w:color="9B2226" w:sz="1"/>
            </w:tcBorders>
            <w:shd w:fill="FDECEA" w:val="clear"/>
            <w:tcMar>
              <w:top w:type="dxa" w:w="120"/>
              <w:left w:type="dxa" w:w="160"/>
              <w:bottom w:type="dxa" w:w="120"/>
              <w:right w:type="dxa" w:w="160"/>
            </w:tcMar>
          </w:tcPr>
          <w:p>
            <w:pPr>
              <w:spacing w:after="60"/>
            </w:pPr>
            <w:r>
              <w:rPr>
                <w:rFonts w:ascii="Arial" w:cs="Arial" w:eastAsia="Arial" w:hAnsi="Arial"/>
                <w:b/>
                <w:bCs/>
                <w:color w:val="9B2226"/>
                <w:sz w:val="18"/>
                <w:szCs w:val="18"/>
              </w:rPr>
              <w:t xml:space="preserve">A-B-C RETIRED AS PUBLIC TAGLINE</w:t>
            </w:r>
          </w:p>
          <w:p>
            <w:pPr>
              <w:spacing w:after="0"/>
            </w:pPr>
            <w:r>
              <w:rPr>
                <w:rFonts w:ascii="Arial" w:cs="Arial" w:eastAsia="Arial" w:hAnsi="Arial"/>
                <w:color w:val="1E1A14"/>
                <w:sz w:val="21"/>
                <w:szCs w:val="21"/>
              </w:rPr>
              <w:t xml:space="preserve">The A-B-C acronym (Accessible, Boundary-Safe, Capable) is retired from public-facing brand usage. The three pillars remain the internal curriculum framework and are described in the Three Pillars section below the fold — but they are described, not labeled with a trademarked acronym. Remove all instances of “The A-B-C of AI Banking” from the site.</w:t>
            </w:r>
          </w:p>
        </w:tc>
      </w:tr>
    </w:tbl>
    <w:p>
      <w:pPr>
        <w:spacing w:after="160"/>
      </w:pPr>
    </w:p>
    <w:p>
      <w:r>
        <w:br w:type="page"/>
      </w:r>
    </w:p>
    <w:p>
      <w:pPr>
        <w:pStyle w:val="Heading1"/>
      </w:pPr>
      <w:r>
        <w:rPr>
          <w:rFonts w:ascii="Arial" w:cs="Arial" w:eastAsia="Arial" w:hAnsi="Arial"/>
          <w:b/>
          <w:bCs/>
          <w:color w:val="1E1A14"/>
          <w:sz w:val="32"/>
          <w:szCs w:val="32"/>
        </w:rPr>
        <w:t xml:space="preserve">3. Stats Band</w:t>
      </w:r>
    </w:p>
    <w:p>
      <w:pPr>
        <w:spacing w:after="120"/>
      </w:pPr>
      <w:r>
        <w:rPr>
          <w:rFonts w:ascii="Arial" w:cs="Arial" w:eastAsia="Arial" w:hAnsi="Arial"/>
          <w:color w:val="6B6355"/>
          <w:sz w:val="22"/>
          <w:szCs w:val="22"/>
        </w:rPr>
        <w:t xml:space="preserve">The four-stat band below the hero is working well. One change is required. Three stats are confirmed.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560"/>
      </w:tblGrid>
      <w:tr>
        <w:trPr>
          <w:tblHeader/>
        </w:trPr>
        <w:tc>
          <w:tcPr>
            <w:tcW w:type="dxa" w:w="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Stat</w:t>
            </w:r>
          </w:p>
        </w:tc>
        <w:tc>
          <w:tcPr>
            <w:tcW w:type="dxa" w:w="26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Label</w:t>
            </w:r>
          </w:p>
        </w:tc>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Action</w:t>
            </w:r>
          </w:p>
        </w:tc>
        <w:tc>
          <w:tcPr>
            <w:tcW w:type="dxa" w:w="4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Source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~65%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Community Bank Median Efficiency Ratio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REPLACE ~8,400 with this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FDIC CEIC data, 1992–2025</w:t>
            </w:r>
          </w:p>
        </w:tc>
      </w:tr>
      <w:tr>
        <w:tc>
          <w:tcPr>
            <w:tcW w:type="dxa" w:w="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66%</w:t>
            </w:r>
          </w:p>
        </w:tc>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Discussing AI Budget in 2024</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Keep</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Bank Director 2024 Technology Survey (via Jack Henry)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57%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Cite AI Skill Gaps as #1 Blocker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Keep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Gartner Peer Community (via Jack Henry)</w:t>
            </w:r>
          </w:p>
        </w:tc>
      </w:tr>
      <w:tr>
        <w:tc>
          <w:tcPr>
            <w:tcW w:type="dxa" w:w="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55%</w:t>
            </w:r>
          </w:p>
        </w:tc>
        <w:tc>
          <w:tcPr>
            <w:tcW w:type="dxa" w:w="26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Have No AI Governance Framework</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Keep</w:t>
            </w:r>
          </w:p>
        </w:tc>
        <w:tc>
          <w:tcPr>
            <w:tcW w:type="dxa" w:w="4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Gartner (via Jack Henry)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1"/>
              <w:right w:val="single" w:color="B8860B" w:sz="1"/>
            </w:tcBorders>
            <w:shd w:fill="FFF3CD" w:val="clear"/>
            <w:tcMar>
              <w:top w:type="dxa" w:w="120"/>
              <w:left w:type="dxa" w:w="160"/>
              <w:bottom w:type="dxa" w:w="120"/>
              <w:right w:type="dxa" w:w="160"/>
            </w:tcMar>
          </w:tcPr>
          <w:p>
            <w:pPr>
              <w:spacing w:after="60"/>
            </w:pPr>
            <w:r>
              <w:rPr>
                <w:rFonts w:ascii="Arial" w:cs="Arial" w:eastAsia="Arial" w:hAnsi="Arial"/>
                <w:b/>
                <w:bCs/>
                <w:color w:val="B8860B"/>
                <w:sz w:val="18"/>
                <w:szCs w:val="18"/>
              </w:rPr>
              <w:t xml:space="preserve">WHY REPLACE ~8,400</w:t>
            </w:r>
          </w:p>
          <w:p>
            <w:pPr>
              <w:spacing w:after="0"/>
            </w:pPr>
            <w:r>
              <w:rPr>
                <w:rFonts w:ascii="Arial" w:cs="Arial" w:eastAsia="Arial" w:hAnsi="Arial"/>
                <w:color w:val="1E1A14"/>
                <w:sz w:val="21"/>
                <w:szCs w:val="21"/>
              </w:rPr>
              <w:t xml:space="preserve">The ~8,400 figure is inaccurate as stated. FDIC community banks are approximately 4,500–5,000. NCUA credit unions are approximately 4,700–5,000 separately. The combined figure conflates the two categories. More importantly, it is a market sizing stat about AiBI — it describes our potential market, not the prospect’s situation. The 65% efficiency ratio stat is a mirror: when a bank CEO sees their own industry’s number, it creates immediate personal relevance.</w:t>
            </w:r>
          </w:p>
        </w:tc>
      </w:tr>
    </w:tbl>
    <w:p>
      <w:pPr>
        <w:spacing w:after="160"/>
      </w:pPr>
    </w:p>
    <w:p>
      <w:pPr>
        <w:spacing w:after="120"/>
      </w:pPr>
      <w:r>
        <w:rPr>
          <w:rFonts w:ascii="Arial" w:cs="Arial" w:eastAsia="Arial" w:hAnsi="Arial"/>
          <w:color w:val="6B6355"/>
          <w:sz w:val="22"/>
          <w:szCs w:val="22"/>
        </w:rPr>
        <w:t xml:space="preserve">Source attribution line (update to):</w:t>
      </w:r>
    </w:p>
    <w:p>
      <w:pPr>
        <w:spacing w:after="120"/>
      </w:pPr>
      <w:r>
        <w:rPr>
          <w:rFonts w:ascii="Arial" w:cs="Arial" w:eastAsia="Arial" w:hAnsi="Arial"/>
          <w:i/>
          <w:iCs/>
          <w:color w:val="1E1A14"/>
          <w:sz w:val="22"/>
          <w:szCs w:val="22"/>
        </w:rPr>
        <w:t xml:space="preserve">Sources: FDIC Quarterly Banking Profile  ·  Bank Director 2024 Technology Survey  ·  Gartner (via Jack Henry)</w:t>
      </w:r>
    </w:p>
    <w:p>
      <w:pPr>
        <w:spacing w:after="160"/>
      </w:pPr>
    </w:p>
    <w:p>
      <w:pPr>
        <w:pStyle w:val="Heading1"/>
      </w:pPr>
      <w:r>
        <w:rPr>
          <w:rFonts w:ascii="Arial" w:cs="Arial" w:eastAsia="Arial" w:hAnsi="Arial"/>
          <w:b/>
          <w:bCs/>
          <w:color w:val="1E1A14"/>
          <w:sz w:val="32"/>
          <w:szCs w:val="32"/>
        </w:rPr>
        <w:t xml:space="preserve">4. Required Page Sections</w:t>
      </w:r>
    </w:p>
    <w:p>
      <w:pPr>
        <w:spacing w:after="120"/>
      </w:pPr>
      <w:r>
        <w:rPr>
          <w:rFonts w:ascii="Arial" w:cs="Arial" w:eastAsia="Arial" w:hAnsi="Arial"/>
          <w:color w:val="6B6355"/>
          <w:sz w:val="22"/>
          <w:szCs w:val="22"/>
        </w:rPr>
        <w:t xml:space="preserve">The screenshot reviewed shows the hero and stats band only. The full homepage requires these sections in this order. Each section is required — do not deprioritize.</w:t>
      </w:r>
    </w:p>
    <w:p>
      <w:pPr>
        <w:spacing w:after="160"/>
      </w:pPr>
    </w:p>
    <w:p>
      <w:pPr>
        <w:pStyle w:val="Heading2"/>
      </w:pPr>
      <w:r>
        <w:rPr>
          <w:rFonts w:ascii="Arial" w:cs="Arial" w:eastAsia="Arial" w:hAnsi="Arial"/>
          <w:b/>
          <w:bCs/>
          <w:color w:val="B5512E"/>
          <w:sz w:val="24"/>
          <w:szCs w:val="24"/>
        </w:rPr>
        <w:t xml:space="preserve">Section 1 — Hero (with stats band)</w:t>
      </w:r>
    </w:p>
    <w:p>
      <w:pPr>
        <w:spacing w:after="120"/>
      </w:pPr>
      <w:r>
        <w:rPr>
          <w:rFonts w:ascii="Arial" w:cs="Arial" w:eastAsia="Arial" w:hAnsi="Arial"/>
          <w:color w:val="1E1A14"/>
          <w:sz w:val="22"/>
          <w:szCs w:val="22"/>
        </w:rPr>
        <w:t xml:space="preserve">Reviewed above. Approved copy applied. Stats band updated.</w:t>
      </w:r>
    </w:p>
    <w:p>
      <w:pPr>
        <w:spacing w:after="160"/>
      </w:pPr>
    </w:p>
    <w:p>
      <w:pPr>
        <w:pStyle w:val="Heading2"/>
      </w:pPr>
      <w:r>
        <w:rPr>
          <w:rFonts w:ascii="Arial" w:cs="Arial" w:eastAsia="Arial" w:hAnsi="Arial"/>
          <w:b/>
          <w:bCs/>
          <w:color w:val="B5512E"/>
          <w:sz w:val="24"/>
          <w:szCs w:val="24"/>
        </w:rPr>
        <w:t xml:space="preserve">Section 2 — Three Pillars</w:t>
      </w:r>
    </w:p>
    <w:p>
      <w:pPr>
        <w:pStyle w:val="ListParagraph"/>
        <w:numPr>
          <w:ilvl w:val="0"/>
          <w:numId w:val="2"/>
        </w:numPr>
        <w:spacing w:after="80"/>
      </w:pPr>
      <w:r>
        <w:rPr>
          <w:rFonts w:ascii="Arial" w:cs="Arial" w:eastAsia="Arial" w:hAnsi="Arial"/>
          <w:b/>
          <w:bCs/>
          <w:color w:val="1E1A14"/>
          <w:sz w:val="22"/>
          <w:szCs w:val="22"/>
        </w:rPr>
        <w:t xml:space="preserve">Format: </w:t>
      </w:r>
      <w:r>
        <w:rPr>
          <w:rFonts w:ascii="Arial" w:cs="Arial" w:eastAsia="Arial" w:hAnsi="Arial"/>
          <w:color w:val="6B6355"/>
          <w:sz w:val="22"/>
          <w:szCs w:val="22"/>
        </w:rPr>
        <w:t xml:space="preserve">Three-column card layout</w:t>
      </w:r>
    </w:p>
    <w:p>
      <w:pPr>
        <w:pStyle w:val="ListParagraph"/>
        <w:numPr>
          <w:ilvl w:val="0"/>
          <w:numId w:val="2"/>
        </w:numPr>
        <w:spacing w:after="80"/>
      </w:pPr>
      <w:r>
        <w:rPr>
          <w:rFonts w:ascii="Arial" w:cs="Arial" w:eastAsia="Arial" w:hAnsi="Arial"/>
          <w:color w:val="6B6355"/>
          <w:sz w:val="22"/>
          <w:szCs w:val="22"/>
        </w:rPr>
        <w:t xml:space="preserve">Pillar A (Accessible): sage (#4A6741) accent. What it solves: staff fear and low tool confidence.</w:t>
      </w:r>
    </w:p>
    <w:p>
      <w:pPr>
        <w:pStyle w:val="ListParagraph"/>
        <w:numPr>
          <w:ilvl w:val="0"/>
          <w:numId w:val="2"/>
        </w:numPr>
        <w:spacing w:after="80"/>
      </w:pPr>
      <w:r>
        <w:rPr>
          <w:rFonts w:ascii="Arial" w:cs="Arial" w:eastAsia="Arial" w:hAnsi="Arial"/>
          <w:color w:val="6B6355"/>
          <w:sz w:val="22"/>
          <w:szCs w:val="22"/>
        </w:rPr>
        <w:t xml:space="preserve">Pillar B (Boundary-Safe): cobalt (#2D4A7A) accent. What it solves: compliance and examiner concerns.</w:t>
      </w:r>
    </w:p>
    <w:p>
      <w:pPr>
        <w:pStyle w:val="ListParagraph"/>
        <w:numPr>
          <w:ilvl w:val="0"/>
          <w:numId w:val="2"/>
        </w:numPr>
        <w:spacing w:after="80"/>
      </w:pPr>
      <w:r>
        <w:rPr>
          <w:rFonts w:ascii="Arial" w:cs="Arial" w:eastAsia="Arial" w:hAnsi="Arial"/>
          <w:color w:val="6B6355"/>
          <w:sz w:val="22"/>
          <w:szCs w:val="22"/>
        </w:rPr>
        <w:t xml:space="preserve">Pillar C (Capable): terra (#B5512E) accent. What it solves: efficiency gap and automation.</w:t>
      </w:r>
    </w:p>
    <w:p>
      <w:pPr>
        <w:pStyle w:val="ListParagraph"/>
        <w:numPr>
          <w:ilvl w:val="0"/>
          <w:numId w:val="2"/>
        </w:numPr>
        <w:spacing w:after="80"/>
      </w:pPr>
      <w:r>
        <w:rPr>
          <w:rFonts w:ascii="Arial" w:cs="Arial" w:eastAsia="Arial" w:hAnsi="Arial"/>
          <w:color w:val="6B6355"/>
          <w:sz w:val="22"/>
          <w:szCs w:val="22"/>
        </w:rPr>
        <w:t xml:space="preserve">Each card: pillar letter, pillar name, one paragraph description, 4–5 specific bullet points.</w:t>
      </w:r>
    </w:p>
    <w:p>
      <w:pPr>
        <w:pStyle w:val="ListParagraph"/>
        <w:numPr>
          <w:ilvl w:val="0"/>
          <w:numId w:val="2"/>
        </w:numPr>
        <w:spacing w:after="80"/>
      </w:pPr>
      <w:r>
        <w:rPr>
          <w:rFonts w:ascii="Arial" w:cs="Arial" w:eastAsia="Arial" w:hAnsi="Arial"/>
          <w:color w:val="6B6355"/>
          <w:sz w:val="22"/>
          <w:szCs w:val="22"/>
        </w:rPr>
        <w:t xml:space="preserve">The A-B-C acronym is NOT used as a header or badge on this section. The pillars are described, not branded.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741" w:sz="6"/>
              <w:left w:val="single" w:color="4A6741" w:sz="6"/>
              <w:bottom w:val="single" w:color="4A6741" w:sz="1"/>
              <w:right w:val="single" w:color="4A6741" w:sz="1"/>
            </w:tcBorders>
            <w:shd w:fill="EBF5F0" w:val="clear"/>
            <w:tcMar>
              <w:top w:type="dxa" w:w="120"/>
              <w:left w:type="dxa" w:w="160"/>
              <w:bottom w:type="dxa" w:w="120"/>
              <w:right w:type="dxa" w:w="160"/>
            </w:tcMar>
          </w:tcPr>
          <w:p>
            <w:pPr>
              <w:spacing w:after="60"/>
            </w:pPr>
            <w:r>
              <w:rPr>
                <w:rFonts w:ascii="Arial" w:cs="Arial" w:eastAsia="Arial" w:hAnsi="Arial"/>
                <w:b/>
                <w:bCs/>
                <w:color w:val="4A6741"/>
                <w:sz w:val="18"/>
                <w:szCs w:val="18"/>
              </w:rPr>
              <w:t xml:space="preserve">COLOR RULE</w:t>
            </w:r>
          </w:p>
          <w:p>
            <w:pPr>
              <w:spacing w:after="0"/>
            </w:pPr>
            <w:r>
              <w:rPr>
                <w:rFonts w:ascii="Arial" w:cs="Arial" w:eastAsia="Arial" w:hAnsi="Arial"/>
                <w:color w:val="1E1A14"/>
                <w:sz w:val="21"/>
                <w:szCs w:val="21"/>
              </w:rPr>
              <w:t xml:space="preserve">Sage is only used for Pillar A. Cobalt is only used for Pillar B. Terra is the brand color used everywhere else. Using sage and cobalt outside their pillar contexts destroys the visual system. Do not use cobalt as a general accent color.</w:t>
            </w:r>
          </w:p>
        </w:tc>
      </w:tr>
    </w:tbl>
    <w:p>
      <w:pPr>
        <w:spacing w:after="160"/>
      </w:pPr>
    </w:p>
    <w:p>
      <w:pPr>
        <w:pStyle w:val="Heading2"/>
      </w:pPr>
      <w:r>
        <w:rPr>
          <w:rFonts w:ascii="Arial" w:cs="Arial" w:eastAsia="Arial" w:hAnsi="Arial"/>
          <w:b/>
          <w:bCs/>
          <w:color w:val="B5512E"/>
          <w:sz w:val="24"/>
          <w:szCs w:val="24"/>
        </w:rPr>
        <w:t xml:space="preserve">Section 3 — The Three Fears</w:t>
      </w:r>
    </w:p>
    <w:p>
      <w:pPr>
        <w:spacing w:after="120"/>
      </w:pPr>
      <w:r>
        <w:rPr>
          <w:rFonts w:ascii="Arial" w:cs="Arial" w:eastAsia="Arial" w:hAnsi="Arial"/>
          <w:color w:val="6B6355"/>
          <w:sz w:val="22"/>
          <w:szCs w:val="22"/>
        </w:rPr>
        <w:t xml:space="preserve">Objection pre-emption. This section converts the CEO who stayed on the page but has not clicked yet.</w:t>
      </w:r>
    </w:p>
    <w:p>
      <w:pPr>
        <w:spacing w:after="80"/>
      </w:pPr>
    </w:p>
    <w:p>
      <w:pPr>
        <w:pStyle w:val="ListParagraph"/>
        <w:numPr>
          <w:ilvl w:val="0"/>
          <w:numId w:val="2"/>
        </w:numPr>
        <w:spacing w:after="80"/>
      </w:pPr>
      <w:r>
        <w:rPr>
          <w:rFonts w:ascii="Arial" w:cs="Arial" w:eastAsia="Arial" w:hAnsi="Arial"/>
          <w:color w:val="6B6355"/>
          <w:sz w:val="22"/>
          <w:szCs w:val="22"/>
        </w:rPr>
        <w:t xml:space="preserve">Left column: framing copy (2–3 sentences, Cormorant italic)</w:t>
      </w:r>
    </w:p>
    <w:p>
      <w:pPr>
        <w:pStyle w:val="ListParagraph"/>
        <w:numPr>
          <w:ilvl w:val="0"/>
          <w:numId w:val="2"/>
        </w:numPr>
        <w:spacing w:after="80"/>
      </w:pPr>
      <w:r>
        <w:rPr>
          <w:rFonts w:ascii="Arial" w:cs="Arial" w:eastAsia="Arial" w:hAnsi="Arial"/>
          <w:color w:val="6B6355"/>
          <w:sz w:val="22"/>
          <w:szCs w:val="22"/>
        </w:rPr>
        <w:t xml:space="preserve">Right column: three fears as a numbered stack, each with the fear and the direct answer</w:t>
      </w:r>
    </w:p>
    <w:p>
      <w:pPr>
        <w:pStyle w:val="ListParagraph"/>
        <w:numPr>
          <w:ilvl w:val="0"/>
          <w:numId w:val="2"/>
        </w:numPr>
        <w:spacing w:after="80"/>
      </w:pPr>
      <w:r>
        <w:rPr>
          <w:rFonts w:ascii="Arial" w:cs="Arial" w:eastAsia="Arial" w:hAnsi="Arial"/>
          <w:color w:val="6B6355"/>
          <w:sz w:val="22"/>
          <w:szCs w:val="22"/>
        </w:rPr>
        <w:t xml:space="preserve">Fear 1 (sage): “My people can’t do this.” Answer: accessible pillar, personal experimentation first.</w:t>
      </w:r>
    </w:p>
    <w:p>
      <w:pPr>
        <w:pStyle w:val="ListParagraph"/>
        <w:numPr>
          <w:ilvl w:val="0"/>
          <w:numId w:val="2"/>
        </w:numPr>
        <w:spacing w:after="80"/>
      </w:pPr>
      <w:r>
        <w:rPr>
          <w:rFonts w:ascii="Arial" w:cs="Arial" w:eastAsia="Arial" w:hAnsi="Arial"/>
          <w:color w:val="6B6355"/>
          <w:sz w:val="22"/>
          <w:szCs w:val="22"/>
        </w:rPr>
        <w:t xml:space="preserve">Fear 2 (cobalt): “It’s not safe for a regulated institution.” Answer: specific regulatory frameworks named.</w:t>
      </w:r>
    </w:p>
    <w:p>
      <w:pPr>
        <w:pStyle w:val="ListParagraph"/>
        <w:numPr>
          <w:ilvl w:val="0"/>
          <w:numId w:val="2"/>
        </w:numPr>
        <w:spacing w:after="80"/>
      </w:pPr>
      <w:r>
        <w:rPr>
          <w:rFonts w:ascii="Arial" w:cs="Arial" w:eastAsia="Arial" w:hAnsi="Arial"/>
          <w:color w:val="6B6355"/>
          <w:sz w:val="22"/>
          <w:szCs w:val="22"/>
        </w:rPr>
        <w:t xml:space="preserve">Fear 3 (terra): “I can’t justify the cost.” Answer: 90-day ROI guarantee, show the math.</w:t>
      </w:r>
    </w:p>
    <w:p>
      <w:pPr>
        <w:spacing w:after="160"/>
      </w:pPr>
    </w:p>
    <w:p>
      <w:pPr>
        <w:pStyle w:val="Heading2"/>
      </w:pPr>
      <w:r>
        <w:rPr>
          <w:rFonts w:ascii="Arial" w:cs="Arial" w:eastAsia="Arial" w:hAnsi="Arial"/>
          <w:b/>
          <w:bCs/>
          <w:color w:val="B5512E"/>
          <w:sz w:val="24"/>
          <w:szCs w:val="24"/>
        </w:rPr>
        <w:t xml:space="preserve">Section 4 — Security Band</w:t>
      </w:r>
    </w:p>
    <w:p>
      <w:pPr>
        <w:pStyle w:val="ListParagraph"/>
        <w:numPr>
          <w:ilvl w:val="0"/>
          <w:numId w:val="2"/>
        </w:numPr>
        <w:spacing w:after="80"/>
      </w:pPr>
      <w:r>
        <w:rPr>
          <w:rFonts w:ascii="Arial" w:cs="Arial" w:eastAsia="Arial" w:hAnsi="Arial"/>
          <w:color w:val="6B6355"/>
          <w:sz w:val="22"/>
          <w:szCs w:val="22"/>
        </w:rPr>
        <w:t xml:space="preserve">Full-width section with cobalt (#2D4A7A) background color</w:t>
      </w:r>
    </w:p>
    <w:p>
      <w:pPr>
        <w:pStyle w:val="ListParagraph"/>
        <w:numPr>
          <w:ilvl w:val="0"/>
          <w:numId w:val="2"/>
        </w:numPr>
        <w:spacing w:after="80"/>
      </w:pPr>
      <w:r>
        <w:rPr>
          <w:rFonts w:ascii="Arial" w:cs="Arial" w:eastAsia="Arial" w:hAnsi="Arial"/>
          <w:color w:val="6B6355"/>
          <w:sz w:val="22"/>
          <w:szCs w:val="22"/>
        </w:rPr>
        <w:t xml:space="preserve">This is the only use of cobalt as a background on the entire page</w:t>
      </w:r>
    </w:p>
    <w:p>
      <w:pPr>
        <w:pStyle w:val="ListParagraph"/>
        <w:numPr>
          <w:ilvl w:val="0"/>
          <w:numId w:val="2"/>
        </w:numPr>
        <w:spacing w:after="80"/>
      </w:pPr>
      <w:r>
        <w:rPr>
          <w:rFonts w:ascii="Arial" w:cs="Arial" w:eastAsia="Arial" w:hAnsi="Arial"/>
          <w:color w:val="6B6355"/>
          <w:sz w:val="22"/>
          <w:szCs w:val="22"/>
        </w:rPr>
        <w:t xml:space="preserve">Left side: headline + 1–2 paragraphs on why regulated institutions need specific security guarantees</w:t>
      </w:r>
    </w:p>
    <w:p>
      <w:pPr>
        <w:pStyle w:val="ListParagraph"/>
        <w:numPr>
          <w:ilvl w:val="0"/>
          <w:numId w:val="2"/>
        </w:numPr>
        <w:spacing w:after="80"/>
      </w:pPr>
      <w:r>
        <w:rPr>
          <w:rFonts w:ascii="Arial" w:cs="Arial" w:eastAsia="Arial" w:hAnsi="Arial"/>
          <w:color w:val="6B6355"/>
          <w:sz w:val="22"/>
          <w:szCs w:val="22"/>
        </w:rPr>
        <w:t xml:space="preserve">Right side: four specific security points (member data protection, regulatory alignment, vendor evaluation, shadow AI)</w:t>
      </w:r>
    </w:p>
    <w:p>
      <w:pPr>
        <w:pStyle w:val="ListParagraph"/>
        <w:numPr>
          <w:ilvl w:val="0"/>
          <w:numId w:val="2"/>
        </w:numPr>
        <w:spacing w:after="80"/>
      </w:pPr>
      <w:r>
        <w:rPr>
          <w:rFonts w:ascii="Arial" w:cs="Arial" w:eastAsia="Arial" w:hAnsi="Arial"/>
          <w:color w:val="6B6355"/>
          <w:sz w:val="22"/>
          <w:szCs w:val="22"/>
        </w:rPr>
        <w:t xml:space="preserve">References AIEOG AI Lexicon (US Treasury, February 2026) by name — this is a credibility differentiator</w:t>
      </w:r>
    </w:p>
    <w:p>
      <w:pPr>
        <w:pStyle w:val="ListParagraph"/>
        <w:numPr>
          <w:ilvl w:val="0"/>
          <w:numId w:val="2"/>
        </w:numPr>
        <w:spacing w:after="80"/>
      </w:pPr>
      <w:r>
        <w:rPr>
          <w:rFonts w:ascii="Arial" w:cs="Arial" w:eastAsia="Arial" w:hAnsi="Arial"/>
          <w:color w:val="6B6355"/>
          <w:sz w:val="22"/>
          <w:szCs w:val="22"/>
        </w:rPr>
        <w:t xml:space="preserve">References SR 11-7, Interagency TPRM Guidance, ECOA/Reg B by name — specific frameworks, not generic compliance language</w:t>
      </w:r>
    </w:p>
    <w:p>
      <w:pPr>
        <w:spacing w:after="160"/>
      </w:pPr>
    </w:p>
    <w:p>
      <w:pPr>
        <w:pStyle w:val="Heading2"/>
      </w:pPr>
      <w:r>
        <w:rPr>
          <w:rFonts w:ascii="Arial" w:cs="Arial" w:eastAsia="Arial" w:hAnsi="Arial"/>
          <w:b/>
          <w:bCs/>
          <w:color w:val="B5512E"/>
          <w:sz w:val="24"/>
          <w:szCs w:val="24"/>
        </w:rPr>
        <w:t xml:space="preserve">Section 5 — ROI Calculator</w:t>
      </w:r>
    </w:p>
    <w:p>
      <w:pPr>
        <w:spacing w:after="120"/>
      </w:pPr>
      <w:r>
        <w:rPr>
          <w:rFonts w:ascii="Arial" w:cs="Arial" w:eastAsia="Arial" w:hAnsi="Arial"/>
          <w:color w:val="6B6355"/>
          <w:sz w:val="22"/>
          <w:szCs w:val="22"/>
        </w:rPr>
        <w:t xml:space="preserve">The interactive NIE reduction model. Highest-converting element for the C-suite audience. A CEO who runs their own numbers is dramatically more likely to book the briefing.</w:t>
      </w:r>
    </w:p>
    <w:p>
      <w:pPr>
        <w:spacing w:after="80"/>
      </w:pPr>
    </w:p>
    <w:p>
      <w:pPr>
        <w:pStyle w:val="ListParagraph"/>
        <w:numPr>
          <w:ilvl w:val="0"/>
          <w:numId w:val="2"/>
        </w:numPr>
        <w:spacing w:after="80"/>
      </w:pPr>
      <w:r>
        <w:rPr>
          <w:rFonts w:ascii="Arial" w:cs="Arial" w:eastAsia="Arial" w:hAnsi="Arial"/>
          <w:color w:val="6B6355"/>
          <w:sz w:val="22"/>
          <w:szCs w:val="22"/>
        </w:rPr>
        <w:t xml:space="preserve">Left column: context copy + FDIC benchmark table (community bank median ~65%, industry-wide ~55.7%, gap 8–12pp)</w:t>
      </w:r>
    </w:p>
    <w:p>
      <w:pPr>
        <w:pStyle w:val="ListParagraph"/>
        <w:numPr>
          <w:ilvl w:val="0"/>
          <w:numId w:val="2"/>
        </w:numPr>
        <w:spacing w:after="80"/>
      </w:pPr>
      <w:r>
        <w:rPr>
          <w:rFonts w:ascii="Arial" w:cs="Arial" w:eastAsia="Arial" w:hAnsi="Arial"/>
          <w:color w:val="6B6355"/>
          <w:sz w:val="22"/>
          <w:szCs w:val="22"/>
        </w:rPr>
        <w:t xml:space="preserve">Right column: interactive calculator with three inputs (FTE count, loaded cost per FTE, hours automatable per week)</w:t>
      </w:r>
    </w:p>
    <w:p>
      <w:pPr>
        <w:pStyle w:val="ListParagraph"/>
        <w:numPr>
          <w:ilvl w:val="0"/>
          <w:numId w:val="2"/>
        </w:numPr>
        <w:spacing w:after="80"/>
      </w:pPr>
      <w:r>
        <w:rPr>
          <w:rFonts w:ascii="Arial" w:cs="Arial" w:eastAsia="Arial" w:hAnsi="Arial"/>
          <w:color w:val="6B6355"/>
          <w:sz w:val="22"/>
          <w:szCs w:val="22"/>
        </w:rPr>
        <w:t xml:space="preserve">Result: annual NIE reduction, per-month figure, hours per year, efficiency ratio impact</w:t>
      </w:r>
    </w:p>
    <w:p>
      <w:pPr>
        <w:pStyle w:val="ListParagraph"/>
        <w:numPr>
          <w:ilvl w:val="0"/>
          <w:numId w:val="2"/>
        </w:numPr>
        <w:spacing w:after="80"/>
      </w:pPr>
      <w:r>
        <w:rPr>
          <w:rFonts w:ascii="Arial" w:cs="Arial" w:eastAsia="Arial" w:hAnsi="Arial"/>
          <w:color w:val="6B6355"/>
          <w:sz w:val="22"/>
          <w:szCs w:val="22"/>
        </w:rPr>
        <w:t xml:space="preserve">Result number: large, terracotta, Cormorant serif — it needs to visually punch</w:t>
      </w:r>
    </w:p>
    <w:p>
      <w:pPr>
        <w:pStyle w:val="ListParagraph"/>
        <w:numPr>
          <w:ilvl w:val="0"/>
          <w:numId w:val="2"/>
        </w:numPr>
        <w:spacing w:after="80"/>
      </w:pPr>
      <w:r>
        <w:rPr>
          <w:rFonts w:ascii="Arial" w:cs="Arial" w:eastAsia="Arial" w:hAnsi="Arial"/>
          <w:color w:val="6B6355"/>
          <w:sz w:val="22"/>
          <w:szCs w:val="22"/>
        </w:rPr>
        <w:t xml:space="preserve">Calculator is client-side only. No server calls. Results are instant.</w:t>
      </w:r>
    </w:p>
    <w:p>
      <w:pPr>
        <w:pStyle w:val="ListParagraph"/>
        <w:numPr>
          <w:ilvl w:val="0"/>
          <w:numId w:val="2"/>
        </w:numPr>
        <w:spacing w:after="80"/>
      </w:pPr>
      <w:r>
        <w:rPr>
          <w:rFonts w:ascii="Arial" w:cs="Arial" w:eastAsia="Arial" w:hAnsi="Arial"/>
          <w:color w:val="6B6355"/>
          <w:sz w:val="22"/>
          <w:szCs w:val="22"/>
        </w:rPr>
        <w:t xml:space="preserve">CTA below result: “Request Executive Briefing” (Calendly link)</w:t>
      </w:r>
    </w:p>
    <w:p>
      <w:pPr>
        <w:spacing w:after="160"/>
      </w:pPr>
    </w:p>
    <w:p>
      <w:pPr>
        <w:pStyle w:val="Heading2"/>
      </w:pPr>
      <w:r>
        <w:rPr>
          <w:rFonts w:ascii="Arial" w:cs="Arial" w:eastAsia="Arial" w:hAnsi="Arial"/>
          <w:b/>
          <w:bCs/>
          <w:color w:val="B5512E"/>
          <w:sz w:val="24"/>
          <w:szCs w:val="24"/>
        </w:rPr>
        <w:t xml:space="preserve">Section 6 — Engagement Tiers</w:t>
      </w:r>
    </w:p>
    <w:p>
      <w:pPr>
        <w:pStyle w:val="ListParagraph"/>
        <w:numPr>
          <w:ilvl w:val="0"/>
          <w:numId w:val="2"/>
        </w:numPr>
        <w:spacing w:after="80"/>
      </w:pPr>
      <w:r>
        <w:rPr>
          <w:rFonts w:ascii="Arial" w:cs="Arial" w:eastAsia="Arial" w:hAnsi="Arial"/>
          <w:color w:val="6B6355"/>
          <w:sz w:val="22"/>
          <w:szCs w:val="22"/>
        </w:rPr>
        <w:t xml:space="preserve">Three-column card layout</w:t>
      </w:r>
    </w:p>
    <w:p>
      <w:pPr>
        <w:pStyle w:val="ListParagraph"/>
        <w:numPr>
          <w:ilvl w:val="0"/>
          <w:numId w:val="2"/>
        </w:numPr>
        <w:spacing w:after="80"/>
      </w:pPr>
      <w:r>
        <w:rPr>
          <w:rFonts w:ascii="Arial" w:cs="Arial" w:eastAsia="Arial" w:hAnsi="Arial"/>
          <w:color w:val="6B6355"/>
          <w:sz w:val="22"/>
          <w:szCs w:val="22"/>
        </w:rPr>
        <w:t xml:space="preserve">Quick Win Sprint ($5K–$15K): 4–6 weeks, 3 automations, 90-day ROI guarantee</w:t>
      </w:r>
    </w:p>
    <w:p>
      <w:pPr>
        <w:pStyle w:val="ListParagraph"/>
        <w:numPr>
          <w:ilvl w:val="0"/>
          <w:numId w:val="2"/>
        </w:numPr>
        <w:spacing w:after="80"/>
      </w:pPr>
      <w:r>
        <w:rPr>
          <w:rFonts w:ascii="Arial" w:cs="Arial" w:eastAsia="Arial" w:hAnsi="Arial"/>
          <w:color w:val="6B6355"/>
          <w:sz w:val="22"/>
          <w:szCs w:val="22"/>
        </w:rPr>
        <w:t xml:space="preserve">Process &amp; Efficiency Audit ($25K–$60K): full cross-departmental assessment, board-ready deliverable</w:t>
      </w:r>
    </w:p>
    <w:p>
      <w:pPr>
        <w:pStyle w:val="ListParagraph"/>
        <w:numPr>
          <w:ilvl w:val="0"/>
          <w:numId w:val="2"/>
        </w:numPr>
        <w:spacing w:after="80"/>
      </w:pPr>
      <w:r>
        <w:rPr>
          <w:rFonts w:ascii="Arial" w:cs="Arial" w:eastAsia="Arial" w:hAnsi="Arial"/>
          <w:color w:val="6B6355"/>
          <w:sz w:val="22"/>
          <w:szCs w:val="22"/>
        </w:rPr>
        <w:t xml:space="preserve">AI Transformation + AiBI fCAIO ($75K–$150K+): monthly operating system, capability transfer</w:t>
      </w:r>
    </w:p>
    <w:p>
      <w:pPr>
        <w:pStyle w:val="ListParagraph"/>
        <w:numPr>
          <w:ilvl w:val="0"/>
          <w:numId w:val="2"/>
        </w:numPr>
        <w:spacing w:after="80"/>
      </w:pPr>
      <w:r>
        <w:rPr>
          <w:rFonts w:ascii="Arial" w:cs="Arial" w:eastAsia="Arial" w:hAnsi="Arial"/>
          <w:color w:val="6B6355"/>
          <w:sz w:val="22"/>
          <w:szCs w:val="22"/>
        </w:rPr>
        <w:t xml:space="preserve">Each card: phase label, name, 1-sentence description, deliverables list, price range</w:t>
      </w:r>
    </w:p>
    <w:p>
      <w:pPr>
        <w:spacing w:after="160"/>
      </w:pPr>
    </w:p>
    <w:p>
      <w:pPr>
        <w:pStyle w:val="Heading2"/>
      </w:pPr>
      <w:r>
        <w:rPr>
          <w:rFonts w:ascii="Arial" w:cs="Arial" w:eastAsia="Arial" w:hAnsi="Arial"/>
          <w:b/>
          <w:bCs/>
          <w:color w:val="B5512E"/>
          <w:sz w:val="24"/>
          <w:szCs w:val="24"/>
        </w:rPr>
        <w:t xml:space="preserve">Section 7 — Certifications Overview</w:t>
      </w:r>
    </w:p>
    <w:p>
      <w:pPr>
        <w:pStyle w:val="ListParagraph"/>
        <w:numPr>
          <w:ilvl w:val="0"/>
          <w:numId w:val="2"/>
        </w:numPr>
        <w:spacing w:after="80"/>
      </w:pPr>
      <w:r>
        <w:rPr>
          <w:rFonts w:ascii="Arial" w:cs="Arial" w:eastAsia="Arial" w:hAnsi="Arial"/>
          <w:color w:val="6B6355"/>
          <w:sz w:val="22"/>
          <w:szCs w:val="22"/>
        </w:rPr>
        <w:t xml:space="preserve">Three certification cards: AiBI-P (Practitioner), AiBI-S (Specialist), AiBI-L (Leader)</w:t>
      </w:r>
    </w:p>
    <w:p>
      <w:pPr>
        <w:pStyle w:val="ListParagraph"/>
        <w:numPr>
          <w:ilvl w:val="0"/>
          <w:numId w:val="2"/>
        </w:numPr>
        <w:spacing w:after="80"/>
      </w:pPr>
      <w:r>
        <w:rPr>
          <w:rFonts w:ascii="Arial" w:cs="Arial" w:eastAsia="Arial" w:hAnsi="Arial"/>
          <w:color w:val="6B6355"/>
          <w:sz w:val="22"/>
          <w:szCs w:val="22"/>
        </w:rPr>
        <w:t xml:space="preserve">Each card: designation, full name, audience, format, assessment standard, price</w:t>
      </w:r>
    </w:p>
    <w:p>
      <w:pPr>
        <w:pStyle w:val="ListParagraph"/>
        <w:numPr>
          <w:ilvl w:val="0"/>
          <w:numId w:val="2"/>
        </w:numPr>
        <w:spacing w:after="80"/>
      </w:pPr>
      <w:r>
        <w:rPr>
          <w:rFonts w:ascii="Arial" w:cs="Arial" w:eastAsia="Arial" w:hAnsi="Arial"/>
          <w:color w:val="6B6355"/>
          <w:sz w:val="22"/>
          <w:szCs w:val="22"/>
        </w:rPr>
        <w:t xml:space="preserve">Credential display on each card reads: “AiBI-P · The AI Banking Institute”</w:t>
      </w:r>
    </w:p>
    <w:p>
      <w:pPr>
        <w:pStyle w:val="ListParagraph"/>
        <w:numPr>
          <w:ilvl w:val="0"/>
          <w:numId w:val="2"/>
        </w:numPr>
        <w:spacing w:after="80"/>
      </w:pPr>
      <w:r>
        <w:rPr>
          <w:rFonts w:ascii="Arial" w:cs="Arial" w:eastAsia="Arial" w:hAnsi="Arial"/>
          <w:color w:val="6B6355"/>
          <w:sz w:val="22"/>
          <w:szCs w:val="22"/>
        </w:rPr>
        <w:t xml:space="preserve">Phase 1 CTA: inquiry form only. Do NOT show a Stripe checkout button. Stripe is Phase 2.</w:t>
      </w:r>
    </w:p>
    <w:p>
      <w:pPr>
        <w:pStyle w:val="ListParagraph"/>
        <w:numPr>
          <w:ilvl w:val="0"/>
          <w:numId w:val="2"/>
        </w:numPr>
        <w:spacing w:after="80"/>
      </w:pPr>
      <w:r>
        <w:rPr>
          <w:rFonts w:ascii="Arial" w:cs="Arial" w:eastAsia="Arial" w:hAnsi="Arial"/>
          <w:color w:val="6B6355"/>
          <w:sz w:val="22"/>
          <w:szCs w:val="22"/>
        </w:rPr>
        <w:t xml:space="preserve">Dead payment links on launch day are a credibility problem.</w:t>
      </w:r>
    </w:p>
    <w:p>
      <w:pPr>
        <w:spacing w:after="160"/>
      </w:pPr>
    </w:p>
    <w:p>
      <w:pPr>
        <w:pStyle w:val="Heading2"/>
      </w:pPr>
      <w:r>
        <w:rPr>
          <w:rFonts w:ascii="Arial" w:cs="Arial" w:eastAsia="Arial" w:hAnsi="Arial"/>
          <w:b/>
          <w:bCs/>
          <w:color w:val="B5512E"/>
          <w:sz w:val="24"/>
          <w:szCs w:val="24"/>
        </w:rPr>
        <w:t xml:space="preserve">Section 8 — Final CTA Band</w:t>
      </w:r>
    </w:p>
    <w:p>
      <w:pPr>
        <w:pStyle w:val="ListParagraph"/>
        <w:numPr>
          <w:ilvl w:val="0"/>
          <w:numId w:val="2"/>
        </w:numPr>
        <w:spacing w:after="80"/>
      </w:pPr>
      <w:r>
        <w:rPr>
          <w:rFonts w:ascii="Arial" w:cs="Arial" w:eastAsia="Arial" w:hAnsi="Arial"/>
          <w:color w:val="6B6355"/>
          <w:sz w:val="22"/>
          <w:szCs w:val="22"/>
        </w:rPr>
        <w:t xml:space="preserve">Full-width terracotta (#B5512E) background section</w:t>
      </w:r>
    </w:p>
    <w:p>
      <w:pPr>
        <w:pStyle w:val="ListParagraph"/>
        <w:numPr>
          <w:ilvl w:val="0"/>
          <w:numId w:val="2"/>
        </w:numPr>
        <w:spacing w:after="80"/>
      </w:pPr>
      <w:r>
        <w:rPr>
          <w:rFonts w:ascii="Arial" w:cs="Arial" w:eastAsia="Arial" w:hAnsi="Arial"/>
          <w:color w:val="6B6355"/>
          <w:sz w:val="22"/>
          <w:szCs w:val="22"/>
        </w:rPr>
        <w:t xml:space="preserve">Headline: “Start with accessible. End with capable.” (or similar — stakeholder to confirm)</w:t>
      </w:r>
    </w:p>
    <w:p>
      <w:pPr>
        <w:pStyle w:val="ListParagraph"/>
        <w:numPr>
          <w:ilvl w:val="0"/>
          <w:numId w:val="2"/>
        </w:numPr>
        <w:spacing w:after="80"/>
      </w:pPr>
      <w:r>
        <w:rPr>
          <w:rFonts w:ascii="Arial" w:cs="Arial" w:eastAsia="Arial" w:hAnsi="Arial"/>
          <w:color w:val="6B6355"/>
          <w:sz w:val="22"/>
          <w:szCs w:val="22"/>
        </w:rPr>
        <w:t xml:space="preserve">One sentence of supporting copy, maximum</w:t>
      </w:r>
    </w:p>
    <w:p>
      <w:pPr>
        <w:pStyle w:val="ListParagraph"/>
        <w:numPr>
          <w:ilvl w:val="0"/>
          <w:numId w:val="2"/>
        </w:numPr>
        <w:spacing w:after="80"/>
      </w:pPr>
      <w:r>
        <w:rPr>
          <w:rFonts w:ascii="Arial" w:cs="Arial" w:eastAsia="Arial" w:hAnsi="Arial"/>
          <w:color w:val="6B6355"/>
          <w:sz w:val="22"/>
          <w:szCs w:val="22"/>
        </w:rPr>
        <w:t xml:space="preserve">Two buttons: cream fill “Request Executive Briefing” (primary), ghost outline “Model Your ROI First” (secondary)</w:t>
      </w:r>
    </w:p>
    <w:p>
      <w:pPr>
        <w:pStyle w:val="ListParagraph"/>
        <w:numPr>
          <w:ilvl w:val="0"/>
          <w:numId w:val="2"/>
        </w:numPr>
        <w:spacing w:after="80"/>
      </w:pPr>
      <w:r>
        <w:rPr>
          <w:rFonts w:ascii="Arial" w:cs="Arial" w:eastAsia="Arial" w:hAnsi="Arial"/>
          <w:color w:val="6B6355"/>
          <w:sz w:val="22"/>
          <w:szCs w:val="22"/>
        </w:rPr>
        <w:t xml:space="preserve">60 words or fewer of total copy in this section. Less is more.</w:t>
      </w:r>
    </w:p>
    <w:p>
      <w:pPr>
        <w:spacing w:after="160"/>
      </w:pPr>
    </w:p>
    <w:p>
      <w:r>
        <w:br w:type="page"/>
      </w:r>
    </w:p>
    <w:p>
      <w:pPr>
        <w:pStyle w:val="Heading1"/>
      </w:pPr>
      <w:r>
        <w:rPr>
          <w:rFonts w:ascii="Arial" w:cs="Arial" w:eastAsia="Arial" w:hAnsi="Arial"/>
          <w:b/>
          <w:bCs/>
          <w:color w:val="1E1A14"/>
          <w:sz w:val="32"/>
          <w:szCs w:val="32"/>
        </w:rPr>
        <w:t xml:space="preserve">5. Design Standards for This Page</w:t>
      </w:r>
    </w:p>
    <w:p>
      <w:pPr>
        <w:pStyle w:val="Heading2"/>
      </w:pPr>
      <w:r>
        <w:rPr>
          <w:rFonts w:ascii="Arial" w:cs="Arial" w:eastAsia="Arial" w:hAnsi="Arial"/>
          <w:b/>
          <w:bCs/>
          <w:color w:val="B5512E"/>
          <w:sz w:val="24"/>
          <w:szCs w:val="24"/>
        </w:rPr>
        <w:t xml:space="preserve">5.1 Layout Discussion</w:t>
      </w:r>
    </w:p>
    <w:p>
      <w:pPr>
        <w:spacing w:after="120"/>
      </w:pPr>
      <w:r>
        <w:rPr>
          <w:rFonts w:ascii="Arial" w:cs="Arial" w:eastAsia="Arial" w:hAnsi="Arial"/>
          <w:color w:val="6B6355"/>
          <w:sz w:val="22"/>
          <w:szCs w:val="22"/>
        </w:rPr>
        <w:t xml:space="preserve">The current centered hero layout is clean and modern. One option worth exploring before finalizing: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Layout Option</w:t>
            </w:r>
          </w:p>
        </w:tc>
        <w:tc>
          <w:tcPr>
            <w:tcW w:type="dxa" w:w="32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Description</w:t>
            </w:r>
          </w:p>
        </w:tc>
        <w:tc>
          <w:tcPr>
            <w:tcW w:type="dxa" w:w="43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Consideration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Centered (current)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Headline, tagline, CTAs all centered. Clean, consumer-pattern.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Works well for single-action pages and broad audiences. May read slightly softer than the brand voice.</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Left-aligned two-column</w:t>
            </w:r>
          </w:p>
        </w:tc>
        <w:tc>
          <w:tcPr>
            <w:tcW w:type="dxa" w:w="32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Copy left-aligned. Right column holds a card (pillar breakdown or score preview).</w:t>
            </w:r>
          </w:p>
        </w:tc>
        <w:tc>
          <w:tcPr>
            <w:tcW w:type="dxa" w:w="43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Standard for B2B financial services firms (McKinsey, Oliver Wyman style). Reads as more authoritative.</w:t>
            </w:r>
          </w:p>
        </w:tc>
      </w:tr>
    </w:tbl>
    <w:p>
      <w:pPr>
        <w:spacing w:after="80"/>
      </w:pPr>
    </w:p>
    <w:p>
      <w:pPr>
        <w:spacing w:after="120"/>
      </w:pPr>
      <w:r>
        <w:rPr>
          <w:rFonts w:ascii="Arial" w:cs="Arial" w:eastAsia="Arial" w:hAnsi="Arial"/>
          <w:color w:val="6B6355"/>
          <w:sz w:val="22"/>
          <w:szCs w:val="22"/>
        </w:rPr>
        <w:t xml:space="preserve">Recommendation: produce both versions and evaluate side-by-side before committing. This is a discussion, not a mandate.</w:t>
      </w:r>
    </w:p>
    <w:p>
      <w:pPr>
        <w:spacing w:after="160"/>
      </w:pPr>
    </w:p>
    <w:p>
      <w:pPr>
        <w:pStyle w:val="Heading2"/>
      </w:pPr>
      <w:r>
        <w:rPr>
          <w:rFonts w:ascii="Arial" w:cs="Arial" w:eastAsia="Arial" w:hAnsi="Arial"/>
          <w:b/>
          <w:bCs/>
          <w:color w:val="B5512E"/>
          <w:sz w:val="24"/>
          <w:szCs w:val="24"/>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Typeface</w:t>
            </w:r>
          </w:p>
        </w:tc>
        <w:tc>
          <w:tcPr>
            <w:tcW w:type="dxa" w:w="75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Use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Cormorant (display weights)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All headlines, subheadlines, hero subtitle, card body in contemplative contexts. Italic for warmth and emphasis — never for error states.</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Cormorant SC (small caps)</w:t>
            </w:r>
          </w:p>
        </w:tc>
        <w:tc>
          <w:tcPr>
            <w:tcW w:type="dxa" w:w="7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ALL section labels, nav items, designation names (AiBI-P, AiBI-S, AiBI-L), the AiBI seal wordmark. Spaced tracking.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DM Sans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Body copy, UI elements, buttons, captions, all interface text.</w:t>
            </w:r>
          </w:p>
        </w:tc>
      </w:tr>
      <w:tr>
        <w:tc>
          <w:tcPr>
            <w:tcW w:type="dxa" w:w="18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DM Mono</w:t>
            </w:r>
          </w:p>
        </w:tc>
        <w:tc>
          <w:tcPr>
            <w:tcW w:type="dxa" w:w="75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ALL numbers, prices, financial data, the score ring display, stat band numbers, the AiBI seal initials.</w:t>
            </w:r>
          </w:p>
        </w:tc>
      </w:tr>
    </w:tbl>
    <w:p>
      <w:pPr>
        <w:spacing w:after="160"/>
      </w:pPr>
    </w:p>
    <w:p>
      <w:pPr>
        <w:pStyle w:val="Heading2"/>
      </w:pPr>
      <w:r>
        <w:rPr>
          <w:rFonts w:ascii="Arial" w:cs="Arial" w:eastAsia="Arial" w:hAnsi="Arial"/>
          <w:b/>
          <w:bCs/>
          <w:color w:val="B5512E"/>
          <w:sz w:val="24"/>
          <w:szCs w:val="24"/>
        </w:rPr>
        <w:t xml:space="preserve">5.3 Color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Color</w:t>
            </w:r>
          </w:p>
        </w:tc>
        <w:tc>
          <w:tcPr>
            <w:tcW w:type="dxa" w:w="140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Hex</w:t>
            </w:r>
          </w:p>
        </w:tc>
        <w:tc>
          <w:tcPr>
            <w:tcW w:type="dxa" w:w="6960"/>
            <w:tcBorders>
              <w:top w:val="single" w:color="CCCCCC" w:sz="1"/>
              <w:left w:val="single" w:color="CCCCCC" w:sz="1"/>
              <w:bottom w:val="single" w:color="CCCCCC" w:sz="1"/>
              <w:right w:val="single" w:color="CCCCCC" w:sz="1"/>
            </w:tcBorders>
            <w:shd w:fill="EDE6D8" w:val="clear"/>
            <w:tcMar>
              <w:top w:type="dxa" w:w="80"/>
              <w:left w:type="dxa" w:w="120"/>
              <w:bottom w:type="dxa" w:w="80"/>
              <w:right w:type="dxa" w:w="120"/>
            </w:tcMar>
          </w:tcPr>
          <w:p>
            <w:r>
              <w:rPr>
                <w:rFonts w:ascii="Arial" w:cs="Arial" w:eastAsia="Arial" w:hAnsi="Arial"/>
                <w:b/>
                <w:bCs/>
                <w:color w:val="B5512E"/>
                <w:sz w:val="20"/>
                <w:szCs w:val="20"/>
              </w:rPr>
              <w:t xml:space="preserve">Usage Rule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Terra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#B5512E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Primary brand signal. CTAs, borders, labels, section headers. Used throughout the page.</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Sage</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#4A6741</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Pillar A (Accessible) ONLY. Do not use as a general accent.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Cobalt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#2D4A7A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Pillar B and security band ONLY. Do not use as a general accent.</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Ink</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#1E1A14</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Primary text, headlines.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Parchment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#F5F0E6</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A14"/>
                <w:sz w:val="20"/>
                <w:szCs w:val="20"/>
              </w:rPr>
              <w:t xml:space="preserve">Card backgrounds.</w:t>
            </w:r>
          </w:p>
        </w:tc>
      </w:tr>
      <w:tr>
        <w:tc>
          <w:tcPr>
            <w:tcW w:type="dxa" w:w="10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Linen</w:t>
            </w:r>
          </w:p>
        </w:tc>
        <w:tc>
          <w:tcPr>
            <w:tcW w:type="dxa" w:w="140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#F9F6F0</w:t>
            </w:r>
          </w:p>
        </w:tc>
        <w:tc>
          <w:tcPr>
            <w:tcW w:type="dxa" w:w="6960"/>
            <w:tcBorders>
              <w:top w:val="single" w:color="DDDDDD" w:sz="1"/>
              <w:left w:val="single" w:color="DDDDDD" w:sz="1"/>
              <w:bottom w:val="single" w:color="DDDDDD" w:sz="1"/>
              <w:right w:val="single" w:color="DDDDDD" w:sz="1"/>
            </w:tcBorders>
            <w:shd w:fill="F9F6F0" w:val="clear"/>
            <w:tcMar>
              <w:top w:type="dxa" w:w="80"/>
              <w:left w:type="dxa" w:w="120"/>
              <w:bottom w:type="dxa" w:w="80"/>
              <w:right w:type="dxa" w:w="120"/>
            </w:tcMar>
          </w:tcPr>
          <w:p>
            <w:r>
              <w:rPr>
                <w:rFonts w:ascii="Arial" w:cs="Arial" w:eastAsia="Arial" w:hAnsi="Arial"/>
                <w:color w:val="1E1A14"/>
                <w:sz w:val="20"/>
                <w:szCs w:val="20"/>
              </w:rPr>
              <w:t xml:space="preserve">Page background.</w:t>
            </w:r>
          </w:p>
        </w:tc>
      </w:tr>
    </w:tbl>
    <w:p>
      <w:pPr>
        <w:spacing w:after="160"/>
      </w:pPr>
    </w:p>
    <w:p>
      <w:pPr>
        <w:pStyle w:val="Heading2"/>
      </w:pPr>
      <w:r>
        <w:rPr>
          <w:rFonts w:ascii="Arial" w:cs="Arial" w:eastAsia="Arial" w:hAnsi="Arial"/>
          <w:b/>
          <w:bCs/>
          <w:color w:val="B5512E"/>
          <w:sz w:val="24"/>
          <w:szCs w:val="24"/>
        </w:rPr>
        <w:t xml:space="preserve">5.4 What Not to Do</w:t>
      </w:r>
    </w:p>
    <w:p>
      <w:pPr>
        <w:pStyle w:val="ListParagraph"/>
        <w:numPr>
          <w:ilvl w:val="0"/>
          <w:numId w:val="2"/>
        </w:numPr>
        <w:spacing w:after="80"/>
      </w:pPr>
      <w:r>
        <w:rPr>
          <w:rFonts w:ascii="Arial" w:cs="Arial" w:eastAsia="Arial" w:hAnsi="Arial"/>
          <w:color w:val="6B6355"/>
          <w:sz w:val="22"/>
          <w:szCs w:val="22"/>
        </w:rPr>
        <w:t xml:space="preserve">No A-B-C pills, badges, or labels anywhere on the hero</w:t>
      </w:r>
    </w:p>
    <w:p>
      <w:pPr>
        <w:pStyle w:val="ListParagraph"/>
        <w:numPr>
          <w:ilvl w:val="0"/>
          <w:numId w:val="2"/>
        </w:numPr>
        <w:spacing w:after="80"/>
      </w:pPr>
      <w:r>
        <w:rPr>
          <w:rFonts w:ascii="Arial" w:cs="Arial" w:eastAsia="Arial" w:hAnsi="Arial"/>
          <w:color w:val="6B6355"/>
          <w:sz w:val="22"/>
          <w:szCs w:val="22"/>
        </w:rPr>
        <w:t xml:space="preserve">No stock photos of people pointing at screens or in front of whiteboards</w:t>
      </w:r>
    </w:p>
    <w:p>
      <w:pPr>
        <w:pStyle w:val="ListParagraph"/>
        <w:numPr>
          <w:ilvl w:val="0"/>
          <w:numId w:val="2"/>
        </w:numPr>
        <w:spacing w:after="80"/>
      </w:pPr>
      <w:r>
        <w:rPr>
          <w:rFonts w:ascii="Arial" w:cs="Arial" w:eastAsia="Arial" w:hAnsi="Arial"/>
          <w:color w:val="6B6355"/>
          <w:sz w:val="22"/>
          <w:szCs w:val="22"/>
        </w:rPr>
        <w:t xml:space="preserve">No purple, teal, or gradient backgrounds anywhere on the page</w:t>
      </w:r>
    </w:p>
    <w:p>
      <w:pPr>
        <w:pStyle w:val="ListParagraph"/>
        <w:numPr>
          <w:ilvl w:val="0"/>
          <w:numId w:val="2"/>
        </w:numPr>
        <w:spacing w:after="80"/>
      </w:pPr>
      <w:r>
        <w:rPr>
          <w:rFonts w:ascii="Arial" w:cs="Arial" w:eastAsia="Arial" w:hAnsi="Arial"/>
          <w:color w:val="6B6355"/>
          <w:sz w:val="22"/>
          <w:szCs w:val="22"/>
        </w:rPr>
        <w:t xml:space="preserve">No drop shadows — elevation is implied through color contrast, not shadow</w:t>
      </w:r>
    </w:p>
    <w:p>
      <w:pPr>
        <w:pStyle w:val="ListParagraph"/>
        <w:numPr>
          <w:ilvl w:val="0"/>
          <w:numId w:val="2"/>
        </w:numPr>
        <w:spacing w:after="80"/>
      </w:pPr>
      <w:r>
        <w:rPr>
          <w:rFonts w:ascii="Arial" w:cs="Arial" w:eastAsia="Arial" w:hAnsi="Arial"/>
          <w:color w:val="6B6355"/>
          <w:sz w:val="22"/>
          <w:szCs w:val="22"/>
        </w:rPr>
        <w:t xml:space="preserve">No rounded corners greater than 4px on structural elements</w:t>
      </w:r>
    </w:p>
    <w:p>
      <w:pPr>
        <w:pStyle w:val="ListParagraph"/>
        <w:numPr>
          <w:ilvl w:val="0"/>
          <w:numId w:val="2"/>
        </w:numPr>
        <w:spacing w:after="80"/>
      </w:pPr>
      <w:r>
        <w:rPr>
          <w:rFonts w:ascii="Arial" w:cs="Arial" w:eastAsia="Arial" w:hAnsi="Arial"/>
          <w:color w:val="6B6355"/>
          <w:sz w:val="22"/>
          <w:szCs w:val="22"/>
        </w:rPr>
        <w:t xml:space="preserve">No unsourced statistics — every number on the page must have a source citation</w:t>
      </w:r>
    </w:p>
    <w:p>
      <w:pPr>
        <w:pStyle w:val="ListParagraph"/>
        <w:numPr>
          <w:ilvl w:val="0"/>
          <w:numId w:val="2"/>
        </w:numPr>
        <w:spacing w:after="80"/>
      </w:pPr>
      <w:r>
        <w:rPr>
          <w:rFonts w:ascii="Arial" w:cs="Arial" w:eastAsia="Arial" w:hAnsi="Arial"/>
          <w:color w:val="6B6355"/>
          <w:sz w:val="22"/>
          <w:szCs w:val="22"/>
        </w:rPr>
        <w:t xml:space="preserve">Do not use “FFIEC-aware” anywhere — the FFIEC has not issued AI-specific guidance</w:t>
      </w:r>
    </w:p>
    <w:p>
      <w:pPr>
        <w:spacing w:after="160"/>
      </w:pPr>
    </w:p>
    <w:p>
      <w:r>
        <w:br w:type="page"/>
      </w:r>
    </w:p>
    <w:p>
      <w:pPr>
        <w:pStyle w:val="Heading1"/>
      </w:pPr>
      <w:r>
        <w:rPr>
          <w:rFonts w:ascii="Arial" w:cs="Arial" w:eastAsia="Arial" w:hAnsi="Arial"/>
          <w:b/>
          <w:bCs/>
          <w:color w:val="1E1A14"/>
          <w:sz w:val="32"/>
          <w:szCs w:val="32"/>
        </w:rPr>
        <w:t xml:space="preserve">6. Acceptance Checklist</w:t>
      </w:r>
    </w:p>
    <w:p>
      <w:pPr>
        <w:spacing w:after="120"/>
      </w:pPr>
      <w:r>
        <w:rPr>
          <w:rFonts w:ascii="Arial" w:cs="Arial" w:eastAsia="Arial" w:hAnsi="Arial"/>
          <w:color w:val="6B6355"/>
          <w:sz w:val="22"/>
          <w:szCs w:val="22"/>
        </w:rPr>
        <w:t xml:space="preserve">The landing page is not ready for review until every item below is met.</w:t>
      </w:r>
    </w:p>
    <w:p>
      <w:pPr>
        <w:spacing w:after="160"/>
      </w:pPr>
    </w:p>
    <w:p>
      <w:pPr>
        <w:pStyle w:val="Heading3"/>
      </w:pPr>
      <w:r>
        <w:rPr>
          <w:rFonts w:ascii="Arial" w:cs="Arial" w:eastAsia="Arial" w:hAnsi="Arial"/>
          <w:b/>
          <w:bCs/>
          <w:color w:val="1E1A14"/>
          <w:sz w:val="22"/>
          <w:szCs w:val="22"/>
        </w:rPr>
        <w:t xml:space="preserve">Copy</w:t>
      </w:r>
    </w:p>
    <w:p>
      <w:pPr>
        <w:pStyle w:val="ListParagraph"/>
        <w:numPr>
          <w:ilvl w:val="0"/>
          <w:numId w:val="3"/>
        </w:numPr>
        <w:spacing w:after="80"/>
      </w:pPr>
      <w:r>
        <w:rPr>
          <w:rFonts w:ascii="Arial" w:cs="Arial" w:eastAsia="Arial" w:hAnsi="Arial"/>
          <w:b/>
          <w:bCs/>
          <w:color w:val="9B2226"/>
          <w:sz w:val="22"/>
          <w:szCs w:val="22"/>
        </w:rPr>
        <w:t xml:space="preserve">H1: “AI your people will actually use.” — unchanged</w:t>
      </w:r>
    </w:p>
    <w:p>
      <w:pPr>
        <w:pStyle w:val="ListParagraph"/>
        <w:numPr>
          <w:ilvl w:val="0"/>
          <w:numId w:val="3"/>
        </w:numPr>
        <w:spacing w:after="80"/>
      </w:pPr>
      <w:r>
        <w:rPr>
          <w:rFonts w:ascii="Arial" w:cs="Arial" w:eastAsia="Arial" w:hAnsi="Arial"/>
          <w:b/>
          <w:bCs/>
          <w:color w:val="9B2226"/>
          <w:sz w:val="22"/>
          <w:szCs w:val="22"/>
        </w:rPr>
        <w:t xml:space="preserve">Tagline beneath H1: “We turn your bankers into your builders.” — present</w:t>
      </w:r>
    </w:p>
    <w:p>
      <w:pPr>
        <w:pStyle w:val="ListParagraph"/>
        <w:numPr>
          <w:ilvl w:val="0"/>
          <w:numId w:val="3"/>
        </w:numPr>
        <w:spacing w:after="80"/>
      </w:pPr>
      <w:r>
        <w:rPr>
          <w:rFonts w:ascii="Arial" w:cs="Arial" w:eastAsia="Arial" w:hAnsi="Arial"/>
          <w:color w:val="1E1A14"/>
          <w:sz w:val="22"/>
          <w:szCs w:val="22"/>
        </w:rPr>
        <w:t xml:space="preserve">Secondary CTA reads “Model Your ROI” — not “See how we work”</w:t>
      </w:r>
    </w:p>
    <w:p>
      <w:pPr>
        <w:pStyle w:val="ListParagraph"/>
        <w:numPr>
          <w:ilvl w:val="0"/>
          <w:numId w:val="3"/>
        </w:numPr>
        <w:spacing w:after="80"/>
      </w:pPr>
      <w:r>
        <w:rPr>
          <w:rFonts w:ascii="Arial" w:cs="Arial" w:eastAsia="Arial" w:hAnsi="Arial"/>
          <w:color w:val="1E1A14"/>
          <w:sz w:val="22"/>
          <w:szCs w:val="22"/>
        </w:rPr>
        <w:t xml:space="preserve">Stats band: ~8,400 replaced with ~65% (FDIC efficiency ratio)</w:t>
      </w:r>
    </w:p>
    <w:p>
      <w:pPr>
        <w:pStyle w:val="ListParagraph"/>
        <w:numPr>
          <w:ilvl w:val="0"/>
          <w:numId w:val="3"/>
        </w:numPr>
        <w:spacing w:after="80"/>
      </w:pPr>
      <w:r>
        <w:rPr>
          <w:rFonts w:ascii="Arial" w:cs="Arial" w:eastAsia="Arial" w:hAnsi="Arial"/>
          <w:color w:val="1E1A14"/>
          <w:sz w:val="22"/>
          <w:szCs w:val="22"/>
        </w:rPr>
        <w:t xml:space="preserve">Stats source line updated: FDIC Quarterly Banking Profile · Bank Director 2024 Technology Survey · Gartner (via Jack Henry)</w:t>
      </w:r>
    </w:p>
    <w:p>
      <w:pPr>
        <w:pStyle w:val="ListParagraph"/>
        <w:numPr>
          <w:ilvl w:val="0"/>
          <w:numId w:val="3"/>
        </w:numPr>
        <w:spacing w:after="80"/>
      </w:pPr>
      <w:r>
        <w:rPr>
          <w:rFonts w:ascii="Arial" w:cs="Arial" w:eastAsia="Arial" w:hAnsi="Arial"/>
          <w:color w:val="1E1A14"/>
          <w:sz w:val="22"/>
          <w:szCs w:val="22"/>
        </w:rPr>
        <w:t xml:space="preserve">Nav sub-tag updated or removed</w:t>
      </w:r>
    </w:p>
    <w:p>
      <w:pPr>
        <w:pStyle w:val="ListParagraph"/>
        <w:numPr>
          <w:ilvl w:val="0"/>
          <w:numId w:val="3"/>
        </w:numPr>
        <w:spacing w:after="80"/>
      </w:pPr>
      <w:r>
        <w:rPr>
          <w:rFonts w:ascii="Arial" w:cs="Arial" w:eastAsia="Arial" w:hAnsi="Arial"/>
          <w:color w:val="1E1A14"/>
          <w:sz w:val="22"/>
          <w:szCs w:val="22"/>
        </w:rPr>
        <w:t xml:space="preserve">Footer reads “We turn your bankers into your builders.”</w:t>
      </w:r>
    </w:p>
    <w:p>
      <w:pPr>
        <w:pStyle w:val="ListParagraph"/>
        <w:numPr>
          <w:ilvl w:val="0"/>
          <w:numId w:val="3"/>
        </w:numPr>
        <w:spacing w:after="80"/>
      </w:pPr>
      <w:r>
        <w:rPr>
          <w:rFonts w:ascii="Arial" w:cs="Arial" w:eastAsia="Arial" w:hAnsi="Arial"/>
          <w:color w:val="1E1A14"/>
          <w:sz w:val="22"/>
          <w:szCs w:val="22"/>
        </w:rPr>
        <w:t xml:space="preserve">No instances of “The A-B-C of AI Banking” remain on the page</w:t>
      </w:r>
    </w:p>
    <w:p>
      <w:pPr>
        <w:pStyle w:val="ListParagraph"/>
        <w:numPr>
          <w:ilvl w:val="0"/>
          <w:numId w:val="3"/>
        </w:numPr>
        <w:spacing w:after="80"/>
      </w:pPr>
      <w:r>
        <w:rPr>
          <w:rFonts w:ascii="Arial" w:cs="Arial" w:eastAsia="Arial" w:hAnsi="Arial"/>
          <w:color w:val="1E1A14"/>
          <w:sz w:val="22"/>
          <w:szCs w:val="22"/>
        </w:rPr>
        <w:t xml:space="preserve">No instances of “FFIEC-aware” on the page</w:t>
      </w:r>
    </w:p>
    <w:p>
      <w:pPr>
        <w:pStyle w:val="ListParagraph"/>
        <w:numPr>
          <w:ilvl w:val="0"/>
          <w:numId w:val="3"/>
        </w:numPr>
        <w:spacing w:after="80"/>
      </w:pPr>
      <w:r>
        <w:rPr>
          <w:rFonts w:ascii="Arial" w:cs="Arial" w:eastAsia="Arial" w:hAnsi="Arial"/>
          <w:color w:val="1E1A14"/>
          <w:sz w:val="22"/>
          <w:szCs w:val="22"/>
        </w:rPr>
        <w:t xml:space="preserve">No unsourced statistics anywhere on the page</w:t>
      </w:r>
    </w:p>
    <w:p>
      <w:pPr>
        <w:spacing w:after="160"/>
      </w:pPr>
    </w:p>
    <w:p>
      <w:pPr>
        <w:pStyle w:val="Heading3"/>
      </w:pPr>
      <w:r>
        <w:rPr>
          <w:rFonts w:ascii="Arial" w:cs="Arial" w:eastAsia="Arial" w:hAnsi="Arial"/>
          <w:b/>
          <w:bCs/>
          <w:color w:val="1E1A14"/>
          <w:sz w:val="22"/>
          <w:szCs w:val="22"/>
        </w:rPr>
        <w:t xml:space="preserve">Sections</w:t>
      </w:r>
    </w:p>
    <w:p>
      <w:pPr>
        <w:pStyle w:val="ListParagraph"/>
        <w:numPr>
          <w:ilvl w:val="0"/>
          <w:numId w:val="3"/>
        </w:numPr>
        <w:spacing w:after="80"/>
      </w:pPr>
      <w:r>
        <w:rPr>
          <w:rFonts w:ascii="Arial" w:cs="Arial" w:eastAsia="Arial" w:hAnsi="Arial"/>
          <w:color w:val="1E1A14"/>
          <w:sz w:val="22"/>
          <w:szCs w:val="22"/>
        </w:rPr>
        <w:t xml:space="preserve">Three Pillars section present below hero</w:t>
      </w:r>
    </w:p>
    <w:p>
      <w:pPr>
        <w:pStyle w:val="ListParagraph"/>
        <w:numPr>
          <w:ilvl w:val="0"/>
          <w:numId w:val="3"/>
        </w:numPr>
        <w:spacing w:after="80"/>
      </w:pPr>
      <w:r>
        <w:rPr>
          <w:rFonts w:ascii="Arial" w:cs="Arial" w:eastAsia="Arial" w:hAnsi="Arial"/>
          <w:color w:val="1E1A14"/>
          <w:sz w:val="22"/>
          <w:szCs w:val="22"/>
        </w:rPr>
        <w:t xml:space="preserve">Three Fears section present</w:t>
      </w:r>
    </w:p>
    <w:p>
      <w:pPr>
        <w:pStyle w:val="ListParagraph"/>
        <w:numPr>
          <w:ilvl w:val="0"/>
          <w:numId w:val="3"/>
        </w:numPr>
        <w:spacing w:after="80"/>
      </w:pPr>
      <w:r>
        <w:rPr>
          <w:rFonts w:ascii="Arial" w:cs="Arial" w:eastAsia="Arial" w:hAnsi="Arial"/>
          <w:color w:val="1E1A14"/>
          <w:sz w:val="22"/>
          <w:szCs w:val="22"/>
        </w:rPr>
        <w:t xml:space="preserve">Security band present with cobalt background</w:t>
      </w:r>
    </w:p>
    <w:p>
      <w:pPr>
        <w:pStyle w:val="ListParagraph"/>
        <w:numPr>
          <w:ilvl w:val="0"/>
          <w:numId w:val="3"/>
        </w:numPr>
        <w:spacing w:after="80"/>
      </w:pPr>
      <w:r>
        <w:rPr>
          <w:rFonts w:ascii="Arial" w:cs="Arial" w:eastAsia="Arial" w:hAnsi="Arial"/>
          <w:color w:val="1E1A14"/>
          <w:sz w:val="22"/>
          <w:szCs w:val="22"/>
        </w:rPr>
        <w:t xml:space="preserve">ROI Calculator present and functional</w:t>
      </w:r>
    </w:p>
    <w:p>
      <w:pPr>
        <w:pStyle w:val="ListParagraph"/>
        <w:numPr>
          <w:ilvl w:val="0"/>
          <w:numId w:val="3"/>
        </w:numPr>
        <w:spacing w:after="80"/>
      </w:pPr>
      <w:r>
        <w:rPr>
          <w:rFonts w:ascii="Arial" w:cs="Arial" w:eastAsia="Arial" w:hAnsi="Arial"/>
          <w:color w:val="1E1A14"/>
          <w:sz w:val="22"/>
          <w:szCs w:val="22"/>
        </w:rPr>
        <w:t xml:space="preserve">Engagement tiers present</w:t>
      </w:r>
    </w:p>
    <w:p>
      <w:pPr>
        <w:pStyle w:val="ListParagraph"/>
        <w:numPr>
          <w:ilvl w:val="0"/>
          <w:numId w:val="3"/>
        </w:numPr>
        <w:spacing w:after="80"/>
      </w:pPr>
      <w:r>
        <w:rPr>
          <w:rFonts w:ascii="Arial" w:cs="Arial" w:eastAsia="Arial" w:hAnsi="Arial"/>
          <w:color w:val="1E1A14"/>
          <w:sz w:val="22"/>
          <w:szCs w:val="22"/>
        </w:rPr>
        <w:t xml:space="preserve">Certifications overview present with inquiry form CTAs only (no Stripe buttons)</w:t>
      </w:r>
    </w:p>
    <w:p>
      <w:pPr>
        <w:pStyle w:val="ListParagraph"/>
        <w:numPr>
          <w:ilvl w:val="0"/>
          <w:numId w:val="3"/>
        </w:numPr>
        <w:spacing w:after="80"/>
      </w:pPr>
      <w:r>
        <w:rPr>
          <w:rFonts w:ascii="Arial" w:cs="Arial" w:eastAsia="Arial" w:hAnsi="Arial"/>
          <w:color w:val="1E1A14"/>
          <w:sz w:val="22"/>
          <w:szCs w:val="22"/>
        </w:rPr>
        <w:t xml:space="preserve">Final terracotta CTA band present</w:t>
      </w:r>
    </w:p>
    <w:p>
      <w:pPr>
        <w:spacing w:after="160"/>
      </w:pPr>
    </w:p>
    <w:p>
      <w:pPr>
        <w:pStyle w:val="Heading3"/>
      </w:pPr>
      <w:r>
        <w:rPr>
          <w:rFonts w:ascii="Arial" w:cs="Arial" w:eastAsia="Arial" w:hAnsi="Arial"/>
          <w:b/>
          <w:bCs/>
          <w:color w:val="1E1A14"/>
          <w:sz w:val="22"/>
          <w:szCs w:val="22"/>
        </w:rPr>
        <w:t xml:space="preserve">Design</w:t>
      </w:r>
    </w:p>
    <w:p>
      <w:pPr>
        <w:pStyle w:val="ListParagraph"/>
        <w:numPr>
          <w:ilvl w:val="0"/>
          <w:numId w:val="3"/>
        </w:numPr>
        <w:spacing w:after="80"/>
      </w:pPr>
      <w:r>
        <w:rPr>
          <w:rFonts w:ascii="Arial" w:cs="Arial" w:eastAsia="Arial" w:hAnsi="Arial"/>
          <w:color w:val="1E1A14"/>
          <w:sz w:val="22"/>
          <w:szCs w:val="22"/>
        </w:rPr>
        <w:t xml:space="preserve">Sage used only in Pillar A contexts</w:t>
      </w:r>
    </w:p>
    <w:p>
      <w:pPr>
        <w:pStyle w:val="ListParagraph"/>
        <w:numPr>
          <w:ilvl w:val="0"/>
          <w:numId w:val="3"/>
        </w:numPr>
        <w:spacing w:after="80"/>
      </w:pPr>
      <w:r>
        <w:rPr>
          <w:rFonts w:ascii="Arial" w:cs="Arial" w:eastAsia="Arial" w:hAnsi="Arial"/>
          <w:color w:val="1E1A14"/>
          <w:sz w:val="22"/>
          <w:szCs w:val="22"/>
        </w:rPr>
        <w:t xml:space="preserve">Cobalt used only in Pillar B / security contexts</w:t>
      </w:r>
    </w:p>
    <w:p>
      <w:pPr>
        <w:pStyle w:val="ListParagraph"/>
        <w:numPr>
          <w:ilvl w:val="0"/>
          <w:numId w:val="3"/>
        </w:numPr>
        <w:spacing w:after="80"/>
      </w:pPr>
      <w:r>
        <w:rPr>
          <w:rFonts w:ascii="Arial" w:cs="Arial" w:eastAsia="Arial" w:hAnsi="Arial"/>
          <w:color w:val="1E1A14"/>
          <w:sz w:val="22"/>
          <w:szCs w:val="22"/>
        </w:rPr>
        <w:t xml:space="preserve">No A-B-C pills or badges in the hero</w:t>
      </w:r>
    </w:p>
    <w:p>
      <w:pPr>
        <w:pStyle w:val="ListParagraph"/>
        <w:numPr>
          <w:ilvl w:val="0"/>
          <w:numId w:val="3"/>
        </w:numPr>
        <w:spacing w:after="80"/>
      </w:pPr>
      <w:r>
        <w:rPr>
          <w:rFonts w:ascii="Arial" w:cs="Arial" w:eastAsia="Arial" w:hAnsi="Arial"/>
          <w:color w:val="1E1A14"/>
          <w:sz w:val="22"/>
          <w:szCs w:val="22"/>
        </w:rPr>
        <w:t xml:space="preserve">Cormorant SC used for all section labels and designation names</w:t>
      </w:r>
    </w:p>
    <w:p>
      <w:pPr>
        <w:pStyle w:val="ListParagraph"/>
        <w:numPr>
          <w:ilvl w:val="0"/>
          <w:numId w:val="3"/>
        </w:numPr>
        <w:spacing w:after="80"/>
      </w:pPr>
      <w:r>
        <w:rPr>
          <w:rFonts w:ascii="Arial" w:cs="Arial" w:eastAsia="Arial" w:hAnsi="Arial"/>
          <w:color w:val="1E1A14"/>
          <w:sz w:val="22"/>
          <w:szCs w:val="22"/>
        </w:rPr>
        <w:t xml:space="preserve">DM Mono used for all numbers and financial data</w:t>
      </w:r>
    </w:p>
    <w:p>
      <w:pPr>
        <w:spacing w:after="160"/>
      </w:pPr>
    </w:p>
    <w:p>
      <w:pPr>
        <w:pStyle w:val="Heading3"/>
      </w:pPr>
      <w:r>
        <w:rPr>
          <w:rFonts w:ascii="Arial" w:cs="Arial" w:eastAsia="Arial" w:hAnsi="Arial"/>
          <w:b/>
          <w:bCs/>
          <w:color w:val="1E1A14"/>
          <w:sz w:val="22"/>
          <w:szCs w:val="22"/>
        </w:rPr>
        <w:t xml:space="preserve">Mobile</w:t>
      </w:r>
    </w:p>
    <w:p>
      <w:pPr>
        <w:pStyle w:val="ListParagraph"/>
        <w:numPr>
          <w:ilvl w:val="0"/>
          <w:numId w:val="3"/>
        </w:numPr>
        <w:spacing w:after="80"/>
      </w:pPr>
      <w:r>
        <w:rPr>
          <w:rFonts w:ascii="Arial" w:cs="Arial" w:eastAsia="Arial" w:hAnsi="Arial"/>
          <w:b/>
          <w:bCs/>
          <w:color w:val="9B2226"/>
          <w:sz w:val="22"/>
          <w:szCs w:val="22"/>
        </w:rPr>
        <w:t xml:space="preserve">Page reviewed on iPhone Safari before design sign-off</w:t>
      </w:r>
    </w:p>
    <w:p>
      <w:pPr>
        <w:pStyle w:val="ListParagraph"/>
        <w:numPr>
          <w:ilvl w:val="0"/>
          <w:numId w:val="3"/>
        </w:numPr>
        <w:spacing w:after="80"/>
      </w:pPr>
      <w:r>
        <w:rPr>
          <w:rFonts w:ascii="Arial" w:cs="Arial" w:eastAsia="Arial" w:hAnsi="Arial"/>
          <w:color w:val="1E1A14"/>
          <w:sz w:val="22"/>
          <w:szCs w:val="22"/>
        </w:rPr>
        <w:t xml:space="preserve">Hero CTAs stack vertically on mobile</w:t>
      </w:r>
    </w:p>
    <w:p>
      <w:pPr>
        <w:pStyle w:val="ListParagraph"/>
        <w:numPr>
          <w:ilvl w:val="0"/>
          <w:numId w:val="3"/>
        </w:numPr>
        <w:spacing w:after="80"/>
      </w:pPr>
      <w:r>
        <w:rPr>
          <w:rFonts w:ascii="Arial" w:cs="Arial" w:eastAsia="Arial" w:hAnsi="Arial"/>
          <w:color w:val="1E1A14"/>
          <w:sz w:val="22"/>
          <w:szCs w:val="22"/>
        </w:rPr>
        <w:t xml:space="preserve">Stats band readable at mobile width</w:t>
      </w:r>
    </w:p>
    <w:p>
      <w:pPr>
        <w:pStyle w:val="ListParagraph"/>
        <w:numPr>
          <w:ilvl w:val="0"/>
          <w:numId w:val="3"/>
        </w:numPr>
        <w:spacing w:after="80"/>
      </w:pPr>
      <w:r>
        <w:rPr>
          <w:rFonts w:ascii="Arial" w:cs="Arial" w:eastAsia="Arial" w:hAnsi="Arial"/>
          <w:color w:val="1E1A14"/>
          <w:sz w:val="22"/>
          <w:szCs w:val="22"/>
        </w:rPr>
        <w:t xml:space="preserve">ROI calculator usable with mobile keyboard</w:t>
      </w:r>
    </w:p>
    <w:p>
      <w:pPr>
        <w:pStyle w:val="ListParagraph"/>
        <w:numPr>
          <w:ilvl w:val="0"/>
          <w:numId w:val="3"/>
        </w:numPr>
        <w:spacing w:after="80"/>
      </w:pPr>
      <w:r>
        <w:rPr>
          <w:rFonts w:ascii="Arial" w:cs="Arial" w:eastAsia="Arial" w:hAnsi="Arial"/>
          <w:color w:val="1E1A14"/>
          <w:sz w:val="22"/>
          <w:szCs w:val="22"/>
        </w:rPr>
        <w:t xml:space="preserve">All sections readable without horizontal scroll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spacing w:before="0"/>
    </w:pPr>
    <w:r>
      <w:rPr>
        <w:rFonts w:ascii="Arial" w:cs="Arial" w:eastAsia="Arial" w:hAnsi="Arial"/>
        <w:color w:val="6B6355"/>
        <w:sz w:val="18"/>
        <w:szCs w:val="18"/>
      </w:rPr>
      <w:t xml:space="preserve">AIBankingInstitute.com  ·  We turn your bankers into your builders.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512E" w:sz="4" w:space="4"/>
      </w:pBdr>
      <w:tabs>
        <w:tab w:val="right" w:pos="9026"/>
      </w:tabs>
      <w:spacing w:after="0"/>
    </w:pPr>
    <w:r>
      <w:rPr>
        <w:rFonts w:ascii="Arial" w:cs="Arial" w:eastAsia="Arial" w:hAnsi="Arial"/>
        <w:color w:val="6B6355"/>
        <w:sz w:val="18"/>
        <w:szCs w:val="18"/>
      </w:rPr>
      <w:t xml:space="preserve">The AI Banking Institute  |  Landing Page PRD</w:t>
    </w:r>
    <w:r>
      <w:rPr>
        <w:rFonts w:ascii="Arial" w:cs="Arial" w:eastAsia="Arial" w:hAnsi="Arial"/>
        <w:b/>
        <w:bCs/>
        <w:color w:val="B5512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512E" w:sz="4" w:space="4"/>
      </w:pBdr>
      <w:spacing w:after="200" w:before="400"/>
      <w:outlineLvl w:val="0"/>
    </w:pPr>
    <w:rPr>
      <w:rFonts w:ascii="Arial" w:cs="Arial" w:eastAsia="Arial" w:hAnsi="Arial"/>
      <w:b/>
      <w:bCs/>
      <w:color w:val="1E1A1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B551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1A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2026-04-15T23:08:41.955Z</dcterms:created>
  <dcterms:modified xsi:type="dcterms:W3CDTF">2026-04-15T23:08:41.956Z</dcterms:modified>
</cp:coreProperties>
</file>

<file path=docProps/custom.xml><?xml version="1.0" encoding="utf-8"?>
<Properties xmlns="http://schemas.openxmlformats.org/officeDocument/2006/custom-properties" xmlns:vt="http://schemas.openxmlformats.org/officeDocument/2006/docPropsVTypes"/>
</file>