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color w:val="071A2F"/>
          <w:sz w:val="34"/>
          <w:szCs w:val="34"/>
        </w:rPr>
        <w:t xml:space="preserve">Lending Workflow SOP Template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Use this before reusing any AI-assisted lending workflow. The human lender owns the decision; the file proves the reason.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Workflow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Workflow name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Example: AI-assisted adverse-action language review.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Product line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Consumer / mortgage / small business / commercial / other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Approved AI tool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Allowed inputs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Redacted policy excerpts, human-selected facts, approved source documents, fictional training examples.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Prohibited inputs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Unredacted customer NPI in public tools, protected-class data except for approved fair-lending testing, unsupported reasons, inferred reasons, credentials, SAR/SAR existence, confidential supervisory information.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may do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Draft, summarize, organize, compare, identify vague language, flag missing support, mark [VERIFY].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may not do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Approve, deny, rank applicants, select principal reasons, infer reasons, set pricing/terms, or make credit recommendations unless separately approved through the required governance path.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Human review point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Evidence retained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Prompt, source material, AI output, human edits, final memo/notice, approval, retention location.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Regulatory Source Language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ECOA and Regulation B do not have an AI exception. AI-assisted credit workflows still require documented fair-lending governance, adverse-action explainability, human accountability, and outcome monitoring. Even where current Regulation B does not recognize disparate-impact liability, institutions should monitor protected-basis outcome gaps, proxy-variable risk, adverse-action reason patterns, override patterns, and explainability issues as part of fair-lending, reputation, state-law, mortgage/housing, and institution-specific control review where applicable.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model-risk guidance, including SR 26-2 where applicable, should be considered when AI supports scoring, pricing, risk ranking, eligibility, fraud, or other model-like decision processes. Generative AI used for drafting, summarization, file organization, or language support should still be governed through approved-tool controls, data boundaries, human review, evidence retention, vendor oversight, and incident response.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Lending Workflow SOP Template</dc:title>
  <dc:creator>The AI Banking Institute</dc:creator>
  <cp:lastModifiedBy>Un-named</cp:lastModifiedBy>
  <cp:revision>1</cp:revision>
  <dcterms:created xsi:type="dcterms:W3CDTF">2026-06-25T08:50:11.985Z</dcterms:created>
  <dcterms:modified xsi:type="dcterms:W3CDTF">2026-06-25T08:50:11.986Z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