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10" w:before="0" w:line="276"/>
      </w:pPr>
      <w:r>
        <w:rPr>
          <w:rFonts w:ascii="Arial" w:cs="Arial" w:eastAsia="Arial" w:hAnsi="Arial"/>
          <w:b/>
          <w:bCs/>
          <w:color w:val="B8872D"/>
          <w:sz w:val="18"/>
          <w:szCs w:val="18"/>
        </w:rPr>
        <w:t xml:space="preserve">The AI Banking Institute</w:t>
      </w:r>
    </w:p>
    <w:p>
      <w:pPr>
        <w:pStyle w:val="Title"/>
        <w:spacing w:after="110" w:before="0" w:line="276"/>
      </w:pPr>
      <w:r>
        <w:rPr>
          <w:rFonts w:ascii="Arial" w:cs="Arial" w:eastAsia="Arial" w:hAnsi="Arial"/>
          <w:b/>
          <w:bCs/>
          <w:color w:val="071A2F"/>
          <w:sz w:val="34"/>
          <w:szCs w:val="34"/>
        </w:rPr>
        <w:t xml:space="preserve">AI Campaign Workflow SOP</w:t>
      </w:r>
    </w:p>
    <w:p>
      <w:pPr>
        <w:spacing w:after="110" w:before="0" w:line="276"/>
      </w:pPr>
      <w:r>
        <w:rPr>
          <w:rFonts w:ascii="Arial" w:cs="Arial" w:eastAsia="Arial" w:hAnsi="Arial"/>
          <w:b w:val="false"/>
          <w:bCs w:val="false"/>
          <w:color w:val="475569"/>
          <w:sz w:val="20"/>
          <w:szCs w:val="20"/>
        </w:rPr>
        <w:t xml:space="preserve">A marketing-specific SOP for using AI to draft campaign copy without skipping source, claim, disclosure, segment, and evidence controls.</w:t>
      </w:r>
    </w:p>
    <w:p>
      <w:pPr>
        <w:pStyle w:val="Heading1"/>
        <w:spacing w:after="110" w:before="240" w:line="276"/>
      </w:pPr>
      <w:r>
        <w:rPr>
          <w:rFonts w:ascii="Arial" w:cs="Arial" w:eastAsia="Arial" w:hAnsi="Arial"/>
          <w:b/>
          <w:bCs/>
          <w:color w:val="071A2F"/>
          <w:sz w:val="24"/>
          <w:szCs w:val="24"/>
        </w:rPr>
        <w:t xml:space="preserve">Workflow Steps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28%"/>
            <w:tcBorders>
              <w:top w:val="single" w:color="D9E2EC" w:sz="4"/>
              <w:left w:val="single" w:color="D9E2EC" w:sz="4"/>
              <w:bottom w:val="single" w:color="D9E2EC" w:sz="4"/>
              <w:right w:val="single" w:color="D9E2EC" w:sz="4"/>
            </w:tcBorders>
            <w:shd w:fill="F4EADB" w:val="clear"/>
            <w:tcMar>
              <w:top w:type="dxa" w:w="110"/>
              <w:left w:type="dxa" w:w="130"/>
              <w:bottom w:type="dxa" w:w="110"/>
              <w:right w:type="dxa" w:w="130"/>
            </w:tcMar>
          </w:tcPr>
          <w:p>
            <w:pPr>
              <w:spacing w:after="110" w:before="0" w:line="276"/>
            </w:pPr>
            <w:r>
              <w:rPr>
                <w:rFonts w:ascii="Arial" w:cs="Arial" w:eastAsia="Arial" w:hAnsi="Arial"/>
                <w:b/>
                <w:bCs/>
                <w:color w:val="071A2F"/>
                <w:sz w:val="20"/>
                <w:szCs w:val="20"/>
              </w:rPr>
              <w:t xml:space="preserve">Step</w:t>
            </w:r>
          </w:p>
        </w:tc>
        <w:tc>
          <w:tcPr>
            <w:tcW w:type="pct" w:w="72%"/>
            <w:tcBorders>
              <w:top w:val="single" w:color="D9E2EC" w:sz="4"/>
              <w:left w:val="single" w:color="D9E2EC" w:sz="4"/>
              <w:bottom w:val="single" w:color="D9E2EC" w:sz="4"/>
              <w:right w:val="single" w:color="D9E2EC" w:sz="4"/>
            </w:tcBorders>
            <w:shd w:fill="F4EADB" w:val="clear"/>
            <w:tcMar>
              <w:top w:type="dxa" w:w="110"/>
              <w:left w:type="dxa" w:w="130"/>
              <w:bottom w:type="dxa" w:w="110"/>
              <w:right w:type="dxa" w:w="130"/>
            </w:tcMar>
          </w:tcPr>
          <w:p>
            <w:pPr>
              <w:spacing w:after="110" w:before="0" w:line="276"/>
            </w:pPr>
            <w:r>
              <w:rPr>
                <w:rFonts w:ascii="Arial" w:cs="Arial" w:eastAsia="Arial" w:hAnsi="Arial"/>
                <w:b/>
                <w:bCs/>
                <w:color w:val="071A2F"/>
                <w:sz w:val="20"/>
                <w:szCs w:val="20"/>
              </w:rPr>
              <w:t xml:space="preserve">Control</w:t>
            </w:r>
          </w:p>
        </w:tc>
      </w:tr>
      <w:tr>
        <w:tc>
          <w:tcPr>
            <w:tcW w:type="pct" w:w="28%"/>
            <w:tcBorders>
              <w:top w:val="single" w:color="D9E2EC" w:sz="4"/>
              <w:left w:val="single" w:color="D9E2EC" w:sz="4"/>
              <w:bottom w:val="single" w:color="D9E2EC" w:sz="4"/>
              <w:right w:val="single" w:color="D9E2EC" w:sz="4"/>
            </w:tcBorders>
            <w:tcMar>
              <w:top w:type="dxa" w:w="110"/>
              <w:left w:type="dxa" w:w="130"/>
              <w:bottom w:type="dxa" w:w="110"/>
              <w:right w:type="dxa" w:w="130"/>
            </w:tcMar>
          </w:tcPr>
          <w:p>
            <w:pPr>
              <w:spacing w:after="110" w:before="0" w:line="276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20"/>
                <w:szCs w:val="20"/>
              </w:rPr>
              <w:t xml:space="preserve">1. Choose campaign</w:t>
            </w:r>
          </w:p>
        </w:tc>
        <w:tc>
          <w:tcPr>
            <w:tcW w:type="pct" w:w="72%"/>
            <w:tcBorders>
              <w:top w:val="single" w:color="D9E2EC" w:sz="4"/>
              <w:left w:val="single" w:color="D9E2EC" w:sz="4"/>
              <w:bottom w:val="single" w:color="D9E2EC" w:sz="4"/>
              <w:right w:val="single" w:color="D9E2EC" w:sz="4"/>
            </w:tcBorders>
            <w:tcMar>
              <w:top w:type="dxa" w:w="110"/>
              <w:left w:type="dxa" w:w="130"/>
              <w:bottom w:type="dxa" w:w="110"/>
              <w:right w:type="dxa" w:w="130"/>
            </w:tcMar>
          </w:tcPr>
          <w:p>
            <w:pPr>
              <w:spacing w:after="110" w:before="0" w:line="276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20"/>
                <w:szCs w:val="20"/>
              </w:rPr>
              <w:t xml:space="preserve">Name campaign owner, channel, audience, and source terms.</w:t>
            </w:r>
          </w:p>
        </w:tc>
      </w:tr>
      <w:tr>
        <w:tc>
          <w:tcPr>
            <w:tcW w:type="pct" w:w="28%"/>
            <w:tcBorders>
              <w:top w:val="single" w:color="D9E2EC" w:sz="4"/>
              <w:left w:val="single" w:color="D9E2EC" w:sz="4"/>
              <w:bottom w:val="single" w:color="D9E2EC" w:sz="4"/>
              <w:right w:val="single" w:color="D9E2EC" w:sz="4"/>
            </w:tcBorders>
            <w:tcMar>
              <w:top w:type="dxa" w:w="110"/>
              <w:left w:type="dxa" w:w="130"/>
              <w:bottom w:type="dxa" w:w="110"/>
              <w:right w:type="dxa" w:w="130"/>
            </w:tcMar>
          </w:tcPr>
          <w:p>
            <w:pPr>
              <w:spacing w:after="110" w:before="0" w:line="276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20"/>
                <w:szCs w:val="20"/>
              </w:rPr>
              <w:t xml:space="preserve">2. Verify source terms</w:t>
            </w:r>
          </w:p>
        </w:tc>
        <w:tc>
          <w:tcPr>
            <w:tcW w:type="pct" w:w="72%"/>
            <w:tcBorders>
              <w:top w:val="single" w:color="D9E2EC" w:sz="4"/>
              <w:left w:val="single" w:color="D9E2EC" w:sz="4"/>
              <w:bottom w:val="single" w:color="D9E2EC" w:sz="4"/>
              <w:right w:val="single" w:color="D9E2EC" w:sz="4"/>
            </w:tcBorders>
            <w:tcMar>
              <w:top w:type="dxa" w:w="110"/>
              <w:left w:type="dxa" w:w="130"/>
              <w:bottom w:type="dxa" w:w="110"/>
              <w:right w:type="dxa" w:w="130"/>
            </w:tcMar>
          </w:tcPr>
          <w:p>
            <w:pPr>
              <w:spacing w:after="110" w:before="0" w:line="276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20"/>
                <w:szCs w:val="20"/>
              </w:rPr>
              <w:t xml:space="preserve">Rates, APYs, fees, eligibility, deadlines, guarantees, and disclosures must come from approved source documents.</w:t>
            </w:r>
          </w:p>
        </w:tc>
      </w:tr>
      <w:tr>
        <w:tc>
          <w:tcPr>
            <w:tcW w:type="pct" w:w="28%"/>
            <w:tcBorders>
              <w:top w:val="single" w:color="D9E2EC" w:sz="4"/>
              <w:left w:val="single" w:color="D9E2EC" w:sz="4"/>
              <w:bottom w:val="single" w:color="D9E2EC" w:sz="4"/>
              <w:right w:val="single" w:color="D9E2EC" w:sz="4"/>
            </w:tcBorders>
            <w:tcMar>
              <w:top w:type="dxa" w:w="110"/>
              <w:left w:type="dxa" w:w="130"/>
              <w:bottom w:type="dxa" w:w="110"/>
              <w:right w:type="dxa" w:w="130"/>
            </w:tcMar>
          </w:tcPr>
          <w:p>
            <w:pPr>
              <w:spacing w:after="110" w:before="0" w:line="276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20"/>
                <w:szCs w:val="20"/>
              </w:rPr>
              <w:t xml:space="preserve">3. Draft with AI</w:t>
            </w:r>
          </w:p>
        </w:tc>
        <w:tc>
          <w:tcPr>
            <w:tcW w:type="pct" w:w="72%"/>
            <w:tcBorders>
              <w:top w:val="single" w:color="D9E2EC" w:sz="4"/>
              <w:left w:val="single" w:color="D9E2EC" w:sz="4"/>
              <w:bottom w:val="single" w:color="D9E2EC" w:sz="4"/>
              <w:right w:val="single" w:color="D9E2EC" w:sz="4"/>
            </w:tcBorders>
            <w:tcMar>
              <w:top w:type="dxa" w:w="110"/>
              <w:left w:type="dxa" w:w="130"/>
              <w:bottom w:type="dxa" w:w="110"/>
              <w:right w:type="dxa" w:w="130"/>
            </w:tcMar>
          </w:tcPr>
          <w:p>
            <w:pPr>
              <w:spacing w:after="110" w:before="0" w:line="276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20"/>
                <w:szCs w:val="20"/>
              </w:rPr>
              <w:t xml:space="preserve">Prompt AI to draft only from provided facts and mark uncertain items [VERIFY].</w:t>
            </w:r>
          </w:p>
        </w:tc>
      </w:tr>
      <w:tr>
        <w:tc>
          <w:tcPr>
            <w:tcW w:type="pct" w:w="28%"/>
            <w:tcBorders>
              <w:top w:val="single" w:color="D9E2EC" w:sz="4"/>
              <w:left w:val="single" w:color="D9E2EC" w:sz="4"/>
              <w:bottom w:val="single" w:color="D9E2EC" w:sz="4"/>
              <w:right w:val="single" w:color="D9E2EC" w:sz="4"/>
            </w:tcBorders>
            <w:tcMar>
              <w:top w:type="dxa" w:w="110"/>
              <w:left w:type="dxa" w:w="130"/>
              <w:bottom w:type="dxa" w:w="110"/>
              <w:right w:type="dxa" w:w="130"/>
            </w:tcMar>
          </w:tcPr>
          <w:p>
            <w:pPr>
              <w:spacing w:after="110" w:before="0" w:line="276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20"/>
                <w:szCs w:val="20"/>
              </w:rPr>
              <w:t xml:space="preserve">4. Review claims/disclosures</w:t>
            </w:r>
          </w:p>
        </w:tc>
        <w:tc>
          <w:tcPr>
            <w:tcW w:type="pct" w:w="72%"/>
            <w:tcBorders>
              <w:top w:val="single" w:color="D9E2EC" w:sz="4"/>
              <w:left w:val="single" w:color="D9E2EC" w:sz="4"/>
              <w:bottom w:val="single" w:color="D9E2EC" w:sz="4"/>
              <w:right w:val="single" w:color="D9E2EC" w:sz="4"/>
            </w:tcBorders>
            <w:tcMar>
              <w:top w:type="dxa" w:w="110"/>
              <w:left w:type="dxa" w:w="130"/>
              <w:bottom w:type="dxa" w:w="110"/>
              <w:right w:type="dxa" w:w="130"/>
            </w:tcMar>
          </w:tcPr>
          <w:p>
            <w:pPr>
              <w:spacing w:after="110" w:before="0" w:line="276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20"/>
                <w:szCs w:val="20"/>
              </w:rPr>
              <w:t xml:space="preserve">Use claim matrix and marketing review checklist before approval.</w:t>
            </w:r>
          </w:p>
        </w:tc>
      </w:tr>
      <w:tr>
        <w:tc>
          <w:tcPr>
            <w:tcW w:type="pct" w:w="28%"/>
            <w:tcBorders>
              <w:top w:val="single" w:color="D9E2EC" w:sz="4"/>
              <w:left w:val="single" w:color="D9E2EC" w:sz="4"/>
              <w:bottom w:val="single" w:color="D9E2EC" w:sz="4"/>
              <w:right w:val="single" w:color="D9E2EC" w:sz="4"/>
            </w:tcBorders>
            <w:tcMar>
              <w:top w:type="dxa" w:w="110"/>
              <w:left w:type="dxa" w:w="130"/>
              <w:bottom w:type="dxa" w:w="110"/>
              <w:right w:type="dxa" w:w="130"/>
            </w:tcMar>
          </w:tcPr>
          <w:p>
            <w:pPr>
              <w:spacing w:after="110" w:before="0" w:line="276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20"/>
                <w:szCs w:val="20"/>
              </w:rPr>
              <w:t xml:space="preserve">5. Approve audience</w:t>
            </w:r>
          </w:p>
        </w:tc>
        <w:tc>
          <w:tcPr>
            <w:tcW w:type="pct" w:w="72%"/>
            <w:tcBorders>
              <w:top w:val="single" w:color="D9E2EC" w:sz="4"/>
              <w:left w:val="single" w:color="D9E2EC" w:sz="4"/>
              <w:bottom w:val="single" w:color="D9E2EC" w:sz="4"/>
              <w:right w:val="single" w:color="D9E2EC" w:sz="4"/>
            </w:tcBorders>
            <w:tcMar>
              <w:top w:type="dxa" w:w="110"/>
              <w:left w:type="dxa" w:w="130"/>
              <w:bottom w:type="dxa" w:w="110"/>
              <w:right w:type="dxa" w:w="130"/>
            </w:tcMar>
          </w:tcPr>
          <w:p>
            <w:pPr>
              <w:spacing w:after="110" w:before="0" w:line="276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20"/>
                <w:szCs w:val="20"/>
              </w:rPr>
              <w:t xml:space="preserve">Use segment approval log for credit, deposit targeting, and audience selection.</w:t>
            </w:r>
          </w:p>
        </w:tc>
      </w:tr>
      <w:tr>
        <w:tc>
          <w:tcPr>
            <w:tcW w:type="pct" w:w="28%"/>
            <w:tcBorders>
              <w:top w:val="single" w:color="D9E2EC" w:sz="4"/>
              <w:left w:val="single" w:color="D9E2EC" w:sz="4"/>
              <w:bottom w:val="single" w:color="D9E2EC" w:sz="4"/>
              <w:right w:val="single" w:color="D9E2EC" w:sz="4"/>
            </w:tcBorders>
            <w:tcMar>
              <w:top w:type="dxa" w:w="110"/>
              <w:left w:type="dxa" w:w="130"/>
              <w:bottom w:type="dxa" w:w="110"/>
              <w:right w:type="dxa" w:w="130"/>
            </w:tcMar>
          </w:tcPr>
          <w:p>
            <w:pPr>
              <w:spacing w:after="110" w:before="0" w:line="276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20"/>
                <w:szCs w:val="20"/>
              </w:rPr>
              <w:t xml:space="preserve">6. Retain evidence</w:t>
            </w:r>
          </w:p>
        </w:tc>
        <w:tc>
          <w:tcPr>
            <w:tcW w:type="pct" w:w="72%"/>
            <w:tcBorders>
              <w:top w:val="single" w:color="D9E2EC" w:sz="4"/>
              <w:left w:val="single" w:color="D9E2EC" w:sz="4"/>
              <w:bottom w:val="single" w:color="D9E2EC" w:sz="4"/>
              <w:right w:val="single" w:color="D9E2EC" w:sz="4"/>
            </w:tcBorders>
            <w:tcMar>
              <w:top w:type="dxa" w:w="110"/>
              <w:left w:type="dxa" w:w="130"/>
              <w:bottom w:type="dxa" w:w="110"/>
              <w:right w:type="dxa" w:w="130"/>
            </w:tcMar>
          </w:tcPr>
          <w:p>
            <w:pPr>
              <w:spacing w:after="110" w:before="0" w:line="276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20"/>
                <w:szCs w:val="20"/>
              </w:rPr>
              <w:t xml:space="preserve">Save intake, source terms, prompt, AI draft, edits, approval, final copy, send date, audience, metrics, complaint flags, and retention location.</w:t>
            </w:r>
          </w:p>
        </w:tc>
      </w:tr>
    </w:tbl>
    <w:p>
      <w:pPr>
        <w:pStyle w:val="Heading1"/>
        <w:spacing w:after="110" w:before="240" w:line="276"/>
      </w:pPr>
      <w:r>
        <w:rPr>
          <w:rFonts w:ascii="Arial" w:cs="Arial" w:eastAsia="Arial" w:hAnsi="Arial"/>
          <w:b/>
          <w:bCs/>
          <w:color w:val="071A2F"/>
          <w:sz w:val="24"/>
          <w:szCs w:val="24"/>
        </w:rPr>
        <w:t xml:space="preserve">Marketing Red Line</w:t>
      </w:r>
    </w:p>
    <w:p>
      <w:pPr>
        <w:spacing w:after="110" w:before="0" w:line="276"/>
      </w:pPr>
      <w:r>
        <w:rPr>
          <w:rFonts w:ascii="Arial" w:cs="Arial" w:eastAsia="Arial" w:hAnsi="Arial"/>
          <w:b w:val="false"/>
          <w:bCs w:val="false"/>
          <w:color w:val="475569"/>
          <w:sz w:val="20"/>
          <w:szCs w:val="20"/>
        </w:rPr>
        <w:t xml:space="preserve">AI must not generate or finalize rates, APYs, fees, eligibility terms, guarantees, disclosures, credit claims, regulated lending language, customer-specific recommendations, deceptive urgency, unsupported competitor comparisons, or unapproved financial advice.</w:t>
      </w:r>
    </w:p>
    <w:sectPr>
      <w:pgSz w:w="11906" w:h="16838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475569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next w:val="Normal"/>
    <w:pPr>
      <w:spacing w:after="120"/>
    </w:pPr>
    <w:rPr>
      <w:rFonts w:ascii="Arial" w:cs="Arial" w:eastAsia="Arial" w:hAnsi="Arial"/>
      <w:b/>
      <w:bCs/>
      <w:color w:val="071A2F"/>
      <w:sz w:val="34"/>
      <w:szCs w:val="34"/>
    </w:rPr>
  </w:style>
  <w:style w:type="paragraph" w:styleId="Heading1">
    <w:name w:val="Heading 1"/>
    <w:basedOn w:val="Normal"/>
    <w:next w:val="Normal"/>
    <w:pPr>
      <w:spacing w:after="100" w:before="240"/>
    </w:pPr>
    <w:rPr>
      <w:rFonts w:ascii="Arial" w:cs="Arial" w:eastAsia="Arial" w:hAnsi="Arial"/>
      <w:b/>
      <w:bCs/>
      <w:color w:val="071A2F"/>
      <w:sz w:val="24"/>
      <w:szCs w:val="24"/>
    </w:rPr>
  </w:style>
  <w:style w:type="paragraph" w:styleId="Heading2">
    <w:name w:val="Heading 2"/>
    <w:basedOn w:val="Normal"/>
    <w:next w:val="Normal"/>
    <w:pPr>
      <w:spacing w:after="80" w:before="160"/>
    </w:pPr>
    <w:rPr>
      <w:rFonts w:ascii="Arial" w:cs="Arial" w:eastAsia="Arial" w:hAnsi="Arial"/>
      <w:b/>
      <w:bCs/>
      <w:color w:val="071A2F"/>
      <w:sz w:val="21"/>
      <w:szCs w:val="21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AI Campaign Workflow SOP</dc:title>
  <dc:creator>The AI Banking Institute</dc:creator>
  <cp:lastModifiedBy>Un-named</cp:lastModifiedBy>
  <cp:revision>1</cp:revision>
  <dcterms:created xsi:type="dcterms:W3CDTF">2026-06-25T08:56:50.961Z</dcterms:created>
  <dcterms:modified xsi:type="dcterms:W3CDTF">2026-06-25T08:56:50.961Z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