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color w:val="071A2F"/>
          <w:sz w:val="34"/>
          <w:szCs w:val="34"/>
        </w:rPr>
        <w:t xml:space="preserve">AI Marketing Review Checklist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Use this before any AI-assisted campaign copy goes live.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Pre-Publication Checks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[ ] Source terms are attached. [ ] Rate/APY/fee/deadline/eligibility claims match source documents. [ ] Required disclosures are present. [ ] No unsupported urgency, guarantee, or competitor claim. [ ] Audience or segment has been approved. [ ] Credit marketing has Reg B discouragement review where applicable. [ ] Mortgage or housing-related campaign has Fair Housing review where applicable. [ ] Final copy, AI draft, edits, approval, send date, and metrics location are retained.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color w:val="071A2F"/>
          <w:sz w:val="24"/>
          <w:szCs w:val="24"/>
        </w:rPr>
        <w:t xml:space="preserve">Source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Area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color w:val="071A2F"/>
                <w:sz w:val="20"/>
                <w:szCs w:val="20"/>
              </w:rPr>
              <w:t xml:space="preserve">Required review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Deposit advertising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Reg DD / Truth in Savings: if a rate of return is stated, state it as annual percentage yield using that term.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Credit advertising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Reg Z: advertised specific credit terms must be terms actually available or offered by the creditor.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Commercial email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CAN-SPAM: sender identity, truthful subject lines, physical address, and opt-out controls.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Credit marketing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Reg B discouragement: avoid statements that would discourage a reasonable person from applying on a prohibited basis.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Mortgage / housing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Fair Housing Act protected-class and steering review.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Marketing Review Checklist</dc:title>
  <dc:creator>The AI Banking Institute</dc:creator>
  <cp:lastModifiedBy>Un-named</cp:lastModifiedBy>
  <cp:revision>1</cp:revision>
  <dcterms:created xsi:type="dcterms:W3CDTF">2026-06-25T08:56:50.951Z</dcterms:created>
  <dcterms:modified xsi:type="dcterms:W3CDTF">2026-06-25T08:56:50.951Z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