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71A2F"/>
          <w:sz w:val="44"/>
        </w:rPr>
        <w:t>Reusable AI Working Brief</w:t>
      </w:r>
    </w:p>
    <w:p>
      <w:pPr>
        <w:spacing w:after="200"/>
      </w:pPr>
      <w:r>
        <w:rPr>
          <w:rFonts w:ascii="Calibri" w:hAnsi="Calibri"/>
          <w:color w:val="475569"/>
          <w:sz w:val="21"/>
        </w:rPr>
        <w:t>Use this template when a useful prompt should become a shared team asset. If the prompt becomes a repeatable workflow, move it into the Workflow SOP Builder.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3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9A7A2F"/>
                <w:sz w:val="19"/>
              </w:rPr>
              <w:t xml:space="preserve">Rule: </w:t>
            </w:r>
            <w:r>
              <w:rPr>
                <w:color w:val="071A2F"/>
                <w:sz w:val="19"/>
              </w:rPr>
              <w:t>A shared prompt defines the approved tool, allowed inputs, prohibited inputs, output format, reviewer, escalation trigger, and retention location before reuse.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5083"/>
            <w:shd w:fill="E8EE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071A2F"/>
                <w:sz w:val="18"/>
              </w:rPr>
              <w:t>Field</w:t>
            </w:r>
          </w:p>
        </w:tc>
        <w:tc>
          <w:tcPr>
            <w:tcW w:type="dxa" w:w="5083"/>
            <w:shd w:fill="E8EE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071A2F"/>
                <w:sz w:val="18"/>
              </w:rPr>
              <w:t>Working brief entry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Workflow / task name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[NAME]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Approved tool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[APPROVED TOOL]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Owner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[OWNER]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Human reviewer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[REVIEWER]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Role for AI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You are assisting [ROLE] with [TASK].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Allowed inputs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[PUBLIC / INTERNAL / REDACTED / APPROVED SAMPLE DATA]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Prohibited inputs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Customer names, account numbers, balances, transactions, SSNs, DOBs, complaint specifics, SAR/AML case details, authentication details, examiner-sensitive material, passwords, API keys, or access tokens.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Task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[WHAT TO PRODUCE]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Constraints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Do not invent facts. Do not make a decision. Preserve source meaning. Mark uncertain items [VERIFY]. Label output as draft pending review.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Output format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[CHECKLIST / TABLE / EMAIL DRAFT / SUMMARY / SOP / MEMO]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Human review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[REVIEWER] confirms source accuracy, data handling, unclear items, and final-use approval.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Escalate if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Customer impact, credit, BSA/AML, fraud, authentication, complaints, examiner-facing material, legal/compliance interpretation, or prohibited data appears.</w:t>
            </w:r>
          </w:p>
        </w:tc>
      </w:tr>
      <w:tr>
        <w:tc>
          <w:tcPr>
            <w:tcW w:type="dxa" w:w="2088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Evidence retained</w:t>
            </w:r>
          </w:p>
        </w:tc>
        <w:tc>
          <w:tcPr>
            <w:tcW w:type="dxa" w:w="7272"/>
            <w:tcMar>
              <w:top w:w="48" w:type="dxa"/>
              <w:start w:w="100" w:type="dxa"/>
              <w:bottom w:w="48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color w:val="071A2F"/>
                <w:sz w:val="17"/>
              </w:rPr>
              <w:t>[FINAL VERSION / SOURCE REFERENCE / REVIEWER NOTE / APPROVAL RECORD / RETENTION LOCATION]</w:t>
            </w:r>
          </w:p>
        </w:tc>
      </w:tr>
    </w:tbl>
    <w:p>
      <w:pPr>
        <w:pStyle w:val="Heading1"/>
      </w:pPr>
      <w:r>
        <w:t>Review checklist</w:t>
      </w:r>
    </w:p>
    <w:p>
      <w:r>
        <w:t>[ ] Sensitive data removed or replaced with placeholders.</w:t>
      </w:r>
    </w:p>
    <w:p>
      <w:r>
        <w:t>[ ] Tool approved for the data class used.</w:t>
      </w:r>
    </w:p>
    <w:p>
      <w:r>
        <w:t>[ ] Prompt asks for draft support, not a final decision.</w:t>
      </w:r>
    </w:p>
    <w:p>
      <w:r>
        <w:t>[ ] Output format is clear and reviewable.</w:t>
      </w:r>
    </w:p>
    <w:p>
      <w:r>
        <w:t>[ ] Uncertain items are marked [VERIFY].</w:t>
      </w:r>
    </w:p>
    <w:p>
      <w:r>
        <w:t>[ ] Reviewer and escalation triggers are named.</w:t>
      </w:r>
    </w:p>
    <w:p>
      <w:r>
        <w:t>[ ] Final version and evidence are retained where required.</w:t>
      </w:r>
    </w:p>
    <w:p>
      <w:pPr>
        <w:pStyle w:val="Heading1"/>
      </w:pPr>
      <w:r>
        <w:t>Source basis and adaptation note</w:t>
      </w:r>
    </w:p>
    <w:p>
      <w:r>
        <w:t>Source basis: NIST AI RMF, OWASP GenAI Top 10, Interagency TPRM Guidance, CFPB Reg B, CFPB Reg P, FFIEC BSA/AML risk concepts, and AiBI workflow SOP curriculum.</w:t>
      </w:r>
    </w:p>
    <w:p>
      <w:r>
        <w:t>Adapt before adoption: This working brief is a training aid, not legal advice or an examiner-approved policy. Adapt it to your institution's approved tools, data classes, retention rules, and review authority.</w:t>
      </w:r>
    </w:p>
    <w:sectPr w:rsidR="00FC693F" w:rsidRPr="0006063C" w:rsidSect="00034616">
      <w:pgSz w:w="12240" w:h="15840"/>
      <w:pgMar w:top="979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71A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