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mbria" w:cs="Cambria" w:eastAsia="Cambria" w:hAnsi="Cambria"/>
          <w:color w:val="2A2620"/>
          <w:sz w:val="56"/>
          <w:szCs w:val="56"/>
        </w:rPr>
        <w:t xml:space="preserve">TimelessHouse.</w:t>
      </w:r>
    </w:p>
    <w:p>
      <w:pPr>
        <w:spacing w:after="1400"/>
      </w:pPr>
      <w:r>
        <w:rPr>
          <w:rFonts w:ascii="Calibri" w:cs="Calibri" w:eastAsia="Calibri" w:hAnsi="Calibri"/>
          <w:b/>
          <w:bCs/>
          <w:color w:val="8A8275"/>
          <w:spacing w:val="200"/>
          <w:sz w:val="18"/>
          <w:szCs w:val="18"/>
        </w:rPr>
        <w:t xml:space="preserve">ESPACE CLIENT</w:t>
      </w:r>
    </w:p>
    <w:p>
      <w:pPr>
        <w:spacing w:after="100"/>
      </w:pPr>
      <w:r>
        <w:rPr>
          <w:rFonts w:ascii="Calibri" w:cs="Calibri" w:eastAsia="Calibri" w:hAnsi="Calibri"/>
          <w:b/>
          <w:bCs/>
          <w:caps/>
          <w:color w:val="B08968"/>
          <w:spacing w:val="120"/>
          <w:sz w:val="22"/>
          <w:szCs w:val="22"/>
        </w:rPr>
        <w:t xml:space="preserve">Guide d’accompagnement</w:t>
      </w:r>
    </w:p>
    <w:p>
      <w:pPr>
        <w:spacing w:after="200"/>
      </w:pPr>
      <w:r>
        <w:rPr>
          <w:rFonts w:ascii="Cambria" w:cs="Cambria" w:eastAsia="Cambria" w:hAnsi="Cambria"/>
          <w:color w:val="2A2620"/>
          <w:sz w:val="72"/>
          <w:szCs w:val="72"/>
        </w:rPr>
        <w:t xml:space="preserve">Le module Analyses temps réel</w:t>
      </w:r>
    </w:p>
    <w:p>
      <w:pPr>
        <w:spacing w:after="1600" w:line="360"/>
      </w:pPr>
      <w:r>
        <w:rPr>
          <w:rFonts w:ascii="Calibri" w:cs="Calibri" w:eastAsia="Calibri" w:hAnsi="Calibri"/>
          <w:i/>
          <w:iCs/>
          <w:color w:val="8A8275"/>
          <w:sz w:val="28"/>
          <w:szCs w:val="28"/>
        </w:rPr>
        <w:t xml:space="preserve">Comprendre, lire et exploiter vos données Instagram et TikTok depuis votre espace client.</w:t>
      </w:r>
    </w:p>
    <w:p>
      <w:pPr>
        <w:pBdr>
          <w:top w:val="single" w:color="D6CFC0" w:sz="6" w:space="12"/>
        </w:pBdr>
        <w:spacing w:after="200"/>
      </w:pPr>
      <w:r>
        <w:t xml:space="preserve"/>
      </w:r>
    </w:p>
    <w:p>
      <w:pPr>
        <w:spacing w:after="140" w:line="320"/>
      </w:pPr>
      <w:r>
        <w:rPr>
          <w:rFonts w:ascii="Calibri" w:cs="Calibri" w:eastAsia="Calibri" w:hAnsi="Calibri"/>
          <w:b/>
          <w:bCs/>
          <w:caps/>
          <w:color w:val="8A8275"/>
          <w:spacing w:val="80"/>
          <w:sz w:val="18"/>
          <w:szCs w:val="18"/>
        </w:rPr>
        <w:t xml:space="preserve">Destinataire   </w:t>
      </w:r>
      <w:r>
        <w:rPr>
          <w:rFonts w:ascii="Calibri" w:cs="Calibri" w:eastAsia="Calibri" w:hAnsi="Calibri"/>
          <w:color w:val="2A2620"/>
          <w:sz w:val="22"/>
          <w:szCs w:val="22"/>
        </w:rPr>
        <w:t xml:space="preserve">TESST &amp; TEST</w:t>
      </w:r>
    </w:p>
    <w:p>
      <w:pPr>
        <w:spacing w:after="140" w:line="320"/>
      </w:pPr>
      <w:r>
        <w:rPr>
          <w:rFonts w:ascii="Calibri" w:cs="Calibri" w:eastAsia="Calibri" w:hAnsi="Calibri"/>
          <w:b/>
          <w:bCs/>
          <w:caps/>
          <w:color w:val="8A8275"/>
          <w:spacing w:val="80"/>
          <w:sz w:val="18"/>
          <w:szCs w:val="18"/>
        </w:rPr>
        <w:t xml:space="preserve">Auteur            </w:t>
      </w:r>
      <w:r>
        <w:rPr>
          <w:rFonts w:ascii="Calibri" w:cs="Calibri" w:eastAsia="Calibri" w:hAnsi="Calibri"/>
          <w:color w:val="2A2620"/>
          <w:sz w:val="22"/>
          <w:szCs w:val="22"/>
        </w:rPr>
        <w:t xml:space="preserve">L’équipe TimelessHouse</w:t>
      </w:r>
    </w:p>
    <w:p>
      <w:pPr>
        <w:spacing w:after="140" w:line="320"/>
      </w:pPr>
      <w:r>
        <w:rPr>
          <w:rFonts w:ascii="Calibri" w:cs="Calibri" w:eastAsia="Calibri" w:hAnsi="Calibri"/>
          <w:b/>
          <w:bCs/>
          <w:caps/>
          <w:color w:val="8A8275"/>
          <w:spacing w:val="80"/>
          <w:sz w:val="18"/>
          <w:szCs w:val="18"/>
        </w:rPr>
        <w:t xml:space="preserve">Version         </w:t>
      </w:r>
      <w:r>
        <w:rPr>
          <w:rFonts w:ascii="Calibri" w:cs="Calibri" w:eastAsia="Calibri" w:hAnsi="Calibri"/>
          <w:color w:val="2A2620"/>
          <w:sz w:val="22"/>
          <w:szCs w:val="22"/>
        </w:rPr>
        <w:t xml:space="preserve">Mai 2026  ·  Module Social Analytics v2</w:t>
      </w:r>
    </w:p>
    <w:p>
      <w:r>
        <w:br w:type="pag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8A8275"/>
          <w:spacing w:val="80"/>
          <w:sz w:val="18"/>
          <w:szCs w:val="18"/>
        </w:rPr>
        <w:t xml:space="preserve">Partie 1</w:t>
      </w:r>
    </w:p>
    <w:p>
      <w:pPr>
        <w:pStyle w:val="Heading1"/>
        <w:spacing w:after="240" w:before="480"/>
      </w:pPr>
      <w:r>
        <w:rPr>
          <w:rFonts w:ascii="Cambria" w:cs="Cambria" w:eastAsia="Cambria" w:hAnsi="Cambria"/>
          <w:color w:val="2A2620"/>
          <w:sz w:val="44"/>
          <w:szCs w:val="44"/>
        </w:rPr>
        <w:t xml:space="preserve">Pourquoi nous avons créé cette interface</w:t>
      </w:r>
    </w:p>
    <w:p>
      <w:pPr>
        <w:spacing w:after="140" w:line="320"/>
      </w:pPr>
      <w:r>
        <w:rPr>
          <w:rFonts w:ascii="Calibri" w:cs="Calibri" w:eastAsia="Calibri" w:hAnsi="Calibri"/>
          <w:color w:val="3A3530"/>
          <w:sz w:val="22"/>
          <w:szCs w:val="22"/>
        </w:rPr>
        <w:t xml:space="preserve">Jusqu’à présent, vos performances sociales étaient réparties entre plusieurs outils : l’application Instagram, le TikTok Studio, parfois un tableau Excel maison. Lire ce que vos contenus produisent vraiment demandait du temps, des allers-retours, et une part d’interprétation.</w:t>
      </w:r>
    </w:p>
    <w:p>
      <w:pPr>
        <w:spacing w:after="140" w:line="320"/>
      </w:pPr>
      <w:r>
        <w:rPr>
          <w:rFonts w:ascii="Calibri" w:cs="Calibri" w:eastAsia="Calibri" w:hAnsi="Calibri"/>
          <w:color w:val="3A3530"/>
          <w:sz w:val="22"/>
          <w:szCs w:val="22"/>
        </w:rPr>
        <w:t xml:space="preserve">Le module </w:t>
      </w:r>
      <w:r>
        <w:rPr>
          <w:rFonts w:ascii="Calibri" w:cs="Calibri" w:eastAsia="Calibri" w:hAnsi="Calibri"/>
          <w:b/>
          <w:bCs/>
          <w:color w:val="2A2620"/>
          <w:sz w:val="22"/>
          <w:szCs w:val="22"/>
        </w:rPr>
        <w:t xml:space="preserve">Analyses temps réel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 de votre Espace Client a été conçu pour résoudre exactement ce problème. Toutes vos données Instagram et TikTok sont réunies au même endroit, mises à jour automatiquement, et présentées sous une forme immédiatement lisible — sans tableau croisé dynamique, sans export, sans manipulation.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aps/>
          <w:color w:val="B08968"/>
          <w:spacing w:val="60"/>
          <w:sz w:val="21"/>
          <w:szCs w:val="21"/>
        </w:rPr>
        <w:t xml:space="preserve">Quatre bénéfices concrets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2A2620"/>
          <w:sz w:val="22"/>
          <w:szCs w:val="22"/>
        </w:rPr>
        <w:t xml:space="preserve">Centralisation. 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Instagram et TikTok sont consolidés dans une même vue. Vous comparez les performances entre plateformes en un clic, sans changer d’application.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2A2620"/>
          <w:sz w:val="22"/>
          <w:szCs w:val="22"/>
        </w:rPr>
        <w:t xml:space="preserve">Gain de temps. 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Les métriques sont calculées automatiquement et rafraîchies en continu. Plus besoin de relever les chiffres à la main ni de croiser plusieurs sources.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2A2620"/>
          <w:sz w:val="22"/>
          <w:szCs w:val="22"/>
        </w:rPr>
        <w:t xml:space="preserve">Pilotage par la donnée. 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Vous voyez instantanément ce qui fonctionne, ce qui s’essouffle, et où concentrer vos efforts créatifs. Les décisions sortent du domaine de l’intuition.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2A2620"/>
          <w:sz w:val="22"/>
          <w:szCs w:val="22"/>
        </w:rPr>
        <w:t xml:space="preserve">Mesure de la rentabilité. 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Pour chaque campagne payée, vous suivez le retour sur investissement réel (ROI, ROAS), pas uniquement la portée.</w:t>
      </w:r>
    </w:p>
    <w:p>
      <w:pPr>
        <w:spacing w:after="1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08968" w:sz="18"/>
              <w:bottom w:val="none" w:color="FFFFFF" w:sz="0"/>
              <w:right w:val="none" w:color="FFFFFF" w:sz="0"/>
            </w:tcBorders>
            <w:shd w:fill="F3EFE5" w:val="clear"/>
            <w:tcMar>
              <w:top w:type="dxa" w:w="220"/>
              <w:left w:type="dxa" w:w="320"/>
              <w:bottom w:type="dxa" w:w="220"/>
              <w:right w:type="dxa" w:w="2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B08968"/>
                <w:spacing w:val="80"/>
                <w:sz w:val="19"/>
                <w:szCs w:val="19"/>
              </w:rPr>
              <w:t xml:space="preserve">En résumé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3A3530"/>
                <w:sz w:val="22"/>
                <w:szCs w:val="22"/>
              </w:rPr>
              <w:t xml:space="preserve">Cette interface transforme une matrice de chiffres bruts en outil de décision. Elle vous dit non seulement ce qui s’est passé, mais ce qu’il convient de faire ensuite — quels formats reproduire, quels créneaux privilégier, quels budgets reconduire.</w:t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8A8275"/>
          <w:spacing w:val="80"/>
          <w:sz w:val="18"/>
          <w:szCs w:val="18"/>
        </w:rPr>
        <w:t xml:space="preserve">Partie 2</w:t>
      </w:r>
    </w:p>
    <w:p>
      <w:pPr>
        <w:pStyle w:val="Heading1"/>
        <w:spacing w:after="240" w:before="480"/>
      </w:pPr>
      <w:r>
        <w:rPr>
          <w:rFonts w:ascii="Cambria" w:cs="Cambria" w:eastAsia="Cambria" w:hAnsi="Cambria"/>
          <w:color w:val="2A2620"/>
          <w:sz w:val="44"/>
          <w:szCs w:val="44"/>
        </w:rPr>
        <w:t xml:space="preserve">Décryptage des quatre onglets</w:t>
      </w:r>
    </w:p>
    <w:p>
      <w:pPr>
        <w:spacing w:after="140" w:line="320"/>
      </w:pPr>
      <w:r>
        <w:rPr>
          <w:rFonts w:ascii="Calibri" w:cs="Calibri" w:eastAsia="Calibri" w:hAnsi="Calibri"/>
          <w:color w:val="3A3530"/>
          <w:sz w:val="22"/>
          <w:szCs w:val="22"/>
        </w:rPr>
        <w:t xml:space="preserve">Le module est organisé en quatre onglets, chacun répondant à une question différente. Voici comment les lire, illustré par vos données réelles.</w:t>
      </w:r>
    </w:p>
    <w:p>
      <w:pPr>
        <w:pStyle w:val="Heading2"/>
        <w:spacing w:after="160" w:before="360"/>
      </w:pPr>
      <w:r>
        <w:rPr>
          <w:rFonts w:ascii="Cambria" w:cs="Cambria" w:eastAsia="Cambria" w:hAnsi="Cambria"/>
          <w:color w:val="2A2620"/>
          <w:sz w:val="32"/>
          <w:szCs w:val="32"/>
        </w:rPr>
        <w:t xml:space="preserve">1. Vue d’ensemble — votre tableau de bord</w:t>
      </w:r>
    </w:p>
    <w:p>
      <w:pPr>
        <w:spacing w:after="140" w:line="320"/>
      </w:pPr>
      <w:r>
        <w:rPr>
          <w:rFonts w:ascii="Calibri" w:cs="Calibri" w:eastAsia="Calibri" w:hAnsi="Calibri"/>
          <w:color w:val="3A3530"/>
          <w:sz w:val="22"/>
          <w:szCs w:val="22"/>
        </w:rPr>
        <w:t xml:space="preserve">Cet onglet répond à la question : </w:t>
      </w:r>
      <w:r>
        <w:rPr>
          <w:rFonts w:ascii="Calibri" w:cs="Calibri" w:eastAsia="Calibri" w:hAnsi="Calibri"/>
          <w:i/>
          <w:iCs/>
          <w:color w:val="3A3530"/>
          <w:sz w:val="22"/>
          <w:szCs w:val="22"/>
        </w:rPr>
        <w:t xml:space="preserve">« Comment se portent globalement mes réseaux ? »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 Quatre indicateurs clés y sont affichés en haut de page.</w:t>
      </w:r>
    </w:p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226"/>
      </w:tblGrid>
      <w:tr>
        <w:trPr>
          <w:tblHeader/>
        </w:trPr>
        <w:tc>
          <w:tcPr>
            <w:tcW w:type="dxa" w:w="20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2A262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18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2A262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9"/>
                <w:szCs w:val="19"/>
              </w:rPr>
              <w:t xml:space="preserve">Votre chiffre</w:t>
            </w:r>
          </w:p>
        </w:tc>
        <w:tc>
          <w:tcPr>
            <w:tcW w:type="dxa" w:w="5226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2A262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9"/>
                <w:szCs w:val="19"/>
              </w:rPr>
              <w:t xml:space="preserve">Ce que cela signifie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aps w:val="false"/>
                <w:color w:val="3A3530"/>
                <w:sz w:val="21"/>
                <w:szCs w:val="21"/>
              </w:rPr>
              <w:t xml:space="preserve">Audience totale</w:t>
            </w:r>
          </w:p>
        </w:tc>
        <w:tc>
          <w:tcPr>
            <w:tcW w:type="dxa" w:w="18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33,2 k</w:t>
            </w:r>
          </w:p>
        </w:tc>
        <w:tc>
          <w:tcPr>
            <w:tcW w:type="dxa" w:w="5226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Somme de vos abonnés Instagram (24,3 k) et TikTok (8 920). Votre base de communauté consolidée.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3EF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aps w:val="false"/>
                <w:color w:val="3A3530"/>
                <w:sz w:val="21"/>
                <w:szCs w:val="21"/>
              </w:rPr>
              <w:t xml:space="preserve">Engagement moyen</w:t>
            </w:r>
          </w:p>
        </w:tc>
        <w:tc>
          <w:tcPr>
            <w:tcW w:type="dxa" w:w="18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3EF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10,7 %</w:t>
            </w:r>
          </w:p>
        </w:tc>
        <w:tc>
          <w:tcPr>
            <w:tcW w:type="dxa" w:w="5226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3EF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Part des personnes touchées qui ont réagi (like, commentaire, partage, sauvegarde). Le benchmark sectoriel se situe entre 1 % et 5 % — vous êtes nettement au-dessus.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aps w:val="false"/>
                <w:color w:val="3A3530"/>
                <w:sz w:val="21"/>
                <w:szCs w:val="21"/>
              </w:rPr>
              <w:t xml:space="preserve">Reach total</w:t>
            </w:r>
          </w:p>
        </w:tc>
        <w:tc>
          <w:tcPr>
            <w:tcW w:type="dxa" w:w="18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12,5 k</w:t>
            </w:r>
          </w:p>
        </w:tc>
        <w:tc>
          <w:tcPr>
            <w:tcW w:type="dxa" w:w="5226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Nombre de personnes uniques ayant vu vos contenus sur la période.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3EF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aps w:val="false"/>
                <w:color w:val="3A3530"/>
                <w:sz w:val="21"/>
                <w:szCs w:val="21"/>
              </w:rPr>
              <w:t xml:space="preserve">Impressions</w:t>
            </w:r>
          </w:p>
        </w:tc>
        <w:tc>
          <w:tcPr>
            <w:tcW w:type="dxa" w:w="18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3EF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16,2 k</w:t>
            </w:r>
          </w:p>
        </w:tc>
        <w:tc>
          <w:tcPr>
            <w:tcW w:type="dxa" w:w="5226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3EF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Nombre total d’affichages (une même personne peut compter plusieurs fois).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aps w:val="false"/>
                <w:color w:val="3A3530"/>
                <w:sz w:val="21"/>
                <w:szCs w:val="21"/>
              </w:rPr>
              <w:t xml:space="preserve">Non-followers</w:t>
            </w:r>
          </w:p>
        </w:tc>
        <w:tc>
          <w:tcPr>
            <w:tcW w:type="dxa" w:w="18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46 %</w:t>
            </w:r>
          </w:p>
        </w:tc>
        <w:tc>
          <w:tcPr>
            <w:tcW w:type="dxa" w:w="5226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Part de votre reach venant de personnes qui ne vous suivent pas. Indicateur clé de viralité.</w:t>
            </w:r>
          </w:p>
        </w:tc>
      </w:tr>
    </w:tbl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aps/>
          <w:color w:val="B08968"/>
          <w:spacing w:val="60"/>
          <w:sz w:val="21"/>
          <w:szCs w:val="21"/>
        </w:rPr>
        <w:t xml:space="preserve">Reach contre Impressions — deux notions à distinguer</w:t>
      </w:r>
    </w:p>
    <w:p>
      <w:pPr>
        <w:spacing w:after="140" w:line="320"/>
      </w:pPr>
      <w:r>
        <w:rPr>
          <w:rFonts w:ascii="Calibri" w:cs="Calibri" w:eastAsia="Calibri" w:hAnsi="Calibri"/>
          <w:color w:val="3A3530"/>
          <w:sz w:val="22"/>
          <w:szCs w:val="22"/>
        </w:rPr>
        <w:t xml:space="preserve">Sur cette période, vos contenus ont atteint </w:t>
      </w:r>
      <w:r>
        <w:rPr>
          <w:rFonts w:ascii="Calibri" w:cs="Calibri" w:eastAsia="Calibri" w:hAnsi="Calibri"/>
          <w:b/>
          <w:bCs/>
          <w:color w:val="2A2620"/>
          <w:sz w:val="22"/>
          <w:szCs w:val="22"/>
        </w:rPr>
        <w:t xml:space="preserve">12,5 k personnes uniques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 (reach), pour </w:t>
      </w:r>
      <w:r>
        <w:rPr>
          <w:rFonts w:ascii="Calibri" w:cs="Calibri" w:eastAsia="Calibri" w:hAnsi="Calibri"/>
          <w:b/>
          <w:bCs/>
          <w:color w:val="2A2620"/>
          <w:sz w:val="22"/>
          <w:szCs w:val="22"/>
        </w:rPr>
        <w:t xml:space="preserve">16,2 k affichages au total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 (impressions). L’écart est sain : chaque personne a vu votre contenu environ 1,3 fois en moyenne — votre message s’ancre dans l’esprit, sans saturer l’audience.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aps/>
          <w:color w:val="B08968"/>
          <w:spacing w:val="60"/>
          <w:sz w:val="21"/>
          <w:szCs w:val="21"/>
        </w:rPr>
        <w:t xml:space="preserve">Le taux de non-followers, indicateur de viralité</w:t>
      </w:r>
    </w:p>
    <w:p>
      <w:pPr>
        <w:spacing w:after="140" w:line="320"/>
      </w:pPr>
      <w:r>
        <w:rPr>
          <w:rFonts w:ascii="Calibri" w:cs="Calibri" w:eastAsia="Calibri" w:hAnsi="Calibri"/>
          <w:color w:val="3A3530"/>
          <w:sz w:val="22"/>
          <w:szCs w:val="22"/>
        </w:rPr>
        <w:t xml:space="preserve">46 % de votre reach vient de personnes qui ne vous suivent pas encore. C’est le signal le plus précieux que puisse envoyer un contenu : </w:t>
      </w:r>
      <w:r>
        <w:rPr>
          <w:rFonts w:ascii="Calibri" w:cs="Calibri" w:eastAsia="Calibri" w:hAnsi="Calibri"/>
          <w:b/>
          <w:bCs/>
          <w:color w:val="2A2620"/>
          <w:sz w:val="22"/>
          <w:szCs w:val="22"/>
        </w:rPr>
        <w:t xml:space="preserve">l’algorithme l’a jugé suffisamment pertinent pour l’exposer au-delà de votre communauté actuelle.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 Concrètement, c’est votre meilleur levier d’acquisition organique : plus ce taux monte, plus votre contenu travaille pour vous gratuitement.</w:t>
      </w:r>
    </w:p>
    <w:p>
      <w:pPr>
        <w:spacing w:after="140" w:line="320"/>
      </w:pPr>
      <w:r>
        <w:rPr>
          <w:rFonts w:ascii="Calibri" w:cs="Calibri" w:eastAsia="Calibri" w:hAnsi="Calibri"/>
          <w:color w:val="3A3530"/>
          <w:sz w:val="22"/>
          <w:szCs w:val="22"/>
        </w:rPr>
        <w:t xml:space="preserve">À surveiller : en dessous de 25 %, votre audience est captive (vous parlez surtout à vos abonnés). Au-dessus de 40 %, vous êtes en phase de croissance active.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aps/>
          <w:color w:val="B08968"/>
          <w:spacing w:val="60"/>
          <w:sz w:val="21"/>
          <w:szCs w:val="21"/>
        </w:rPr>
        <w:t xml:space="preserve">Les graphiques complémentaires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2A2620"/>
          <w:sz w:val="22"/>
          <w:szCs w:val="22"/>
        </w:rPr>
        <w:t xml:space="preserve">Performance dans le temps : 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un graphique combiné qui croise le reach (barres) et les engagements (ligne) jour par jour. Permet d’identifier les pics et les creux.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2A2620"/>
          <w:sz w:val="22"/>
          <w:szCs w:val="22"/>
        </w:rPr>
        <w:t xml:space="preserve">Podium des posts les plus engageants : 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le top 3 de la période, classé par taux d’engagement. C’est votre raccourci vers ce qui a vraiment fonctionné.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2A2620"/>
          <w:sz w:val="22"/>
          <w:szCs w:val="22"/>
        </w:rPr>
        <w:t xml:space="preserve">Cartes par réseau : 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un bloc par compte connecté, avec le nombre d’abonnés et de publications. Le pastille verte « Live » confirme que la synchronisation fonctionne.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Cambria" w:cs="Cambria" w:eastAsia="Cambria" w:hAnsi="Cambria"/>
          <w:color w:val="2A2620"/>
          <w:sz w:val="32"/>
          <w:szCs w:val="32"/>
        </w:rPr>
        <w:t xml:space="preserve">2. Posts — le détail publication par publication</w:t>
      </w:r>
    </w:p>
    <w:p>
      <w:pPr>
        <w:spacing w:after="140" w:line="320"/>
      </w:pPr>
      <w:r>
        <w:rPr>
          <w:rFonts w:ascii="Calibri" w:cs="Calibri" w:eastAsia="Calibri" w:hAnsi="Calibri"/>
          <w:color w:val="3A3530"/>
          <w:sz w:val="22"/>
          <w:szCs w:val="22"/>
        </w:rPr>
        <w:t xml:space="preserve">Cet onglet répond à la question : </w:t>
      </w:r>
      <w:r>
        <w:rPr>
          <w:rFonts w:ascii="Calibri" w:cs="Calibri" w:eastAsia="Calibri" w:hAnsi="Calibri"/>
          <w:i/>
          <w:iCs/>
          <w:color w:val="3A3530"/>
          <w:sz w:val="22"/>
          <w:szCs w:val="22"/>
        </w:rPr>
        <w:t xml:space="preserve">« Quels contenus ont le mieux marché, et pourquoi ? »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 Vous y trouvez chaque post avec ses métriques détaillées, des filtres par format (Reels, Carrousels, Photos, Vidéos TikTok, Stories) et un tri personnalisable.</w:t>
      </w:r>
    </w:p>
    <w:p>
      <w:pPr>
        <w:spacing w:after="140" w:line="320"/>
      </w:pPr>
      <w:r>
        <w:rPr>
          <w:rFonts w:ascii="Calibri" w:cs="Calibri" w:eastAsia="Calibri" w:hAnsi="Calibri"/>
          <w:color w:val="3A3530"/>
          <w:sz w:val="22"/>
          <w:szCs w:val="22"/>
        </w:rPr>
        <w:t xml:space="preserve">Exemple : votre Reel </w:t>
      </w:r>
      <w:r>
        <w:rPr>
          <w:rFonts w:ascii="Calibri" w:cs="Calibri" w:eastAsia="Calibri" w:hAnsi="Calibri"/>
          <w:i/>
          <w:iCs/>
          <w:color w:val="2A2620"/>
          <w:sz w:val="22"/>
          <w:szCs w:val="22"/>
        </w:rPr>
        <w:t xml:space="preserve">« Coulisses du shooting Maison Lumière »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 publié le 15 mai affiche 12,5 k de reach, 10,7 % d’engagement, 890 likes, 47 commentaires, 340 sauvegardes (2,7 % de save rate) et 62 partages.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aps/>
          <w:color w:val="B08968"/>
          <w:spacing w:val="60"/>
          <w:sz w:val="21"/>
          <w:szCs w:val="21"/>
        </w:rPr>
        <w:t xml:space="preserve">Lexique des métriques par post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226"/>
      </w:tblGrid>
      <w:tr>
        <w:trPr>
          <w:tblHeader/>
        </w:trPr>
        <w:tc>
          <w:tcPr>
            <w:tcW w:type="dxa" w:w="16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2A262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9"/>
                <w:szCs w:val="19"/>
              </w:rPr>
              <w:t xml:space="preserve">Métrique</w:t>
            </w:r>
          </w:p>
        </w:tc>
        <w:tc>
          <w:tcPr>
            <w:tcW w:type="dxa" w:w="32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2A262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9"/>
                <w:szCs w:val="19"/>
              </w:rPr>
              <w:t xml:space="preserve">Ce qu’elle mesure</w:t>
            </w:r>
          </w:p>
        </w:tc>
        <w:tc>
          <w:tcPr>
            <w:tcW w:type="dxa" w:w="4226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2A262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9"/>
                <w:szCs w:val="19"/>
              </w:rPr>
              <w:t xml:space="preserve">Pourquoi c’est utile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aps w:val="false"/>
                <w:color w:val="3A3530"/>
                <w:sz w:val="21"/>
                <w:szCs w:val="21"/>
              </w:rPr>
              <w:t xml:space="preserve">Reach</w:t>
            </w:r>
          </w:p>
        </w:tc>
        <w:tc>
          <w:tcPr>
            <w:tcW w:type="dxa" w:w="32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Personnes uniques touchées par ce post.</w:t>
            </w:r>
          </w:p>
        </w:tc>
        <w:tc>
          <w:tcPr>
            <w:tcW w:type="dxa" w:w="4226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Taille réelle de votre exposition.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3EF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aps w:val="false"/>
                <w:color w:val="3A3530"/>
                <w:sz w:val="21"/>
                <w:szCs w:val="21"/>
              </w:rPr>
              <w:t xml:space="preserve">Eng. rate</w:t>
            </w:r>
          </w:p>
        </w:tc>
        <w:tc>
          <w:tcPr>
            <w:tcW w:type="dxa" w:w="32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3EF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Engagements / reach, en pourcentage.</w:t>
            </w:r>
          </w:p>
        </w:tc>
        <w:tc>
          <w:tcPr>
            <w:tcW w:type="dxa" w:w="4226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3EF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La métrique reine : évalue la qualité du contenu, indépendamment de sa taille.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aps w:val="false"/>
                <w:color w:val="3A3530"/>
                <w:sz w:val="21"/>
                <w:szCs w:val="21"/>
              </w:rPr>
              <w:t xml:space="preserve">Likes</w:t>
            </w:r>
          </w:p>
        </w:tc>
        <w:tc>
          <w:tcPr>
            <w:tcW w:type="dxa" w:w="32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Réactions positives rapides.</w:t>
            </w:r>
          </w:p>
        </w:tc>
        <w:tc>
          <w:tcPr>
            <w:tcW w:type="dxa" w:w="4226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Indicateur d’appréciation générale, le moins discriminant.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3EF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aps w:val="false"/>
                <w:color w:val="3A3530"/>
                <w:sz w:val="21"/>
                <w:szCs w:val="21"/>
              </w:rPr>
              <w:t xml:space="preserve">Comments</w:t>
            </w:r>
          </w:p>
        </w:tc>
        <w:tc>
          <w:tcPr>
            <w:tcW w:type="dxa" w:w="32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3EF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Commentaires reçus.</w:t>
            </w:r>
          </w:p>
        </w:tc>
        <w:tc>
          <w:tcPr>
            <w:tcW w:type="dxa" w:w="4226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3EF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Mesure d’adhésion forte : un commentaire vaut 10 likes en signal algorithmique.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aps w:val="false"/>
                <w:color w:val="3A3530"/>
                <w:sz w:val="21"/>
                <w:szCs w:val="21"/>
              </w:rPr>
              <w:t xml:space="preserve">Saves</w:t>
            </w:r>
          </w:p>
        </w:tc>
        <w:tc>
          <w:tcPr>
            <w:tcW w:type="dxa" w:w="32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Sauvegardes (Instagram).</w:t>
            </w:r>
          </w:p>
        </w:tc>
        <w:tc>
          <w:tcPr>
            <w:tcW w:type="dxa" w:w="4226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Le saint Graal : signifie que le contenu a une valeur durable. Très prisé par l’algorithme.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3EF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aps w:val="false"/>
                <w:color w:val="3A3530"/>
                <w:sz w:val="21"/>
                <w:szCs w:val="21"/>
              </w:rPr>
              <w:t xml:space="preserve">Shares</w:t>
            </w:r>
          </w:p>
        </w:tc>
        <w:tc>
          <w:tcPr>
            <w:tcW w:type="dxa" w:w="32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3EF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Partages en messages privés ou stories.</w:t>
            </w:r>
          </w:p>
        </w:tc>
        <w:tc>
          <w:tcPr>
            <w:tcW w:type="dxa" w:w="4226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3EF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Indicateur de viralité : votre audience devient prescripteur.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aps w:val="false"/>
                <w:color w:val="3A3530"/>
                <w:sz w:val="21"/>
                <w:szCs w:val="21"/>
              </w:rPr>
              <w:t xml:space="preserve">Views</w:t>
            </w:r>
          </w:p>
        </w:tc>
        <w:tc>
          <w:tcPr>
            <w:tcW w:type="dxa" w:w="32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Vues vidéo (Reels, TikTok).</w:t>
            </w:r>
          </w:p>
        </w:tc>
        <w:tc>
          <w:tcPr>
            <w:tcW w:type="dxa" w:w="4226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Volume de consultation des formats vidéo.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3EF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aps w:val="false"/>
                <w:color w:val="3A3530"/>
                <w:sz w:val="21"/>
                <w:szCs w:val="21"/>
              </w:rPr>
              <w:t xml:space="preserve">Vélocité</w:t>
            </w:r>
          </w:p>
        </w:tc>
        <w:tc>
          <w:tcPr>
            <w:tcW w:type="dxa" w:w="32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3EF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Vitesse d’engagement la 1ère heure.</w:t>
            </w:r>
          </w:p>
        </w:tc>
        <w:tc>
          <w:tcPr>
            <w:tcW w:type="dxa" w:w="4226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3EF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Détection précoce de potentiel viral.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2F7D5B" w:sz="18"/>
              <w:bottom w:val="none" w:color="FFFFFF" w:sz="0"/>
              <w:right w:val="none" w:color="FFFFFF" w:sz="0"/>
            </w:tcBorders>
            <w:shd w:fill="F3EFE5" w:val="clear"/>
            <w:tcMar>
              <w:top w:type="dxa" w:w="220"/>
              <w:left w:type="dxa" w:w="320"/>
              <w:bottom w:type="dxa" w:w="220"/>
              <w:right w:type="dxa" w:w="2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2F7D5B"/>
                <w:spacing w:val="80"/>
                <w:sz w:val="19"/>
                <w:szCs w:val="19"/>
              </w:rPr>
              <w:t xml:space="preserve">Notre conseil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3A3530"/>
                <w:sz w:val="22"/>
                <w:szCs w:val="22"/>
              </w:rPr>
              <w:t xml:space="preserve">Concentrez-vous sur l’Engagement rate, les Saves et les Shares. Ces trois métriques prédisent bien mieux la performance future qu’un nombre brut de likes.</w:t>
            </w:r>
          </w:p>
        </w:tc>
      </w:tr>
    </w:tbl>
    <w:p>
      <w:r>
        <w:br w:type="page"/>
      </w:r>
    </w:p>
    <w:p>
      <w:pPr>
        <w:pStyle w:val="Heading2"/>
        <w:spacing w:after="160" w:before="360"/>
      </w:pPr>
      <w:r>
        <w:rPr>
          <w:rFonts w:ascii="Cambria" w:cs="Cambria" w:eastAsia="Cambria" w:hAnsi="Cambria"/>
          <w:color w:val="2A2620"/>
          <w:sz w:val="32"/>
          <w:szCs w:val="32"/>
        </w:rPr>
        <w:t xml:space="preserve">3. Campagnes — la rentabilité de chaque action</w:t>
      </w:r>
    </w:p>
    <w:p>
      <w:pPr>
        <w:spacing w:after="140" w:line="320"/>
      </w:pPr>
      <w:r>
        <w:rPr>
          <w:rFonts w:ascii="Calibri" w:cs="Calibri" w:eastAsia="Calibri" w:hAnsi="Calibri"/>
          <w:color w:val="3A3530"/>
          <w:sz w:val="22"/>
          <w:szCs w:val="22"/>
        </w:rPr>
        <w:t xml:space="preserve">Cet onglet répond à la question : </w:t>
      </w:r>
      <w:r>
        <w:rPr>
          <w:rFonts w:ascii="Calibri" w:cs="Calibri" w:eastAsia="Calibri" w:hAnsi="Calibri"/>
          <w:i/>
          <w:iCs/>
          <w:color w:val="3A3530"/>
          <w:sz w:val="22"/>
          <w:szCs w:val="22"/>
        </w:rPr>
        <w:t xml:space="preserve">« Mon investissement publicitaire est-il rentable ? »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 Chaque campagne regroupe plusieurs publications, un budget, des dates de début et de fin, et un objectif.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aps/>
          <w:color w:val="B08968"/>
          <w:spacing w:val="60"/>
          <w:sz w:val="21"/>
          <w:szCs w:val="21"/>
        </w:rPr>
        <w:t xml:space="preserve">Vos données « Lancement FW26 » en lecture complète</w:t>
      </w:r>
    </w:p>
    <w:p>
      <w:pPr>
        <w:spacing w:after="140" w:line="320"/>
      </w:pPr>
      <w:r>
        <w:rPr>
          <w:rFonts w:ascii="Calibri" w:cs="Calibri" w:eastAsia="Calibri" w:hAnsi="Calibri"/>
          <w:color w:val="3A3530"/>
          <w:sz w:val="22"/>
          <w:szCs w:val="22"/>
        </w:rPr>
        <w:t xml:space="preserve">Campagne active du 15 avril au 31 mai, objectif notoriété (awareness), budget total 5 000 € dont 850 € déjà dépensés (17 % consommé).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5626"/>
      </w:tblGrid>
      <w:tr>
        <w:trPr>
          <w:tblHeader/>
        </w:trPr>
        <w:tc>
          <w:tcPr>
            <w:tcW w:type="dxa" w:w="19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2A262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9"/>
                <w:szCs w:val="19"/>
              </w:rPr>
              <w:t xml:space="preserve">Indicateur</w:t>
            </w:r>
          </w:p>
        </w:tc>
        <w:tc>
          <w:tcPr>
            <w:tcW w:type="dxa" w:w="15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2A262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9"/>
                <w:szCs w:val="19"/>
              </w:rPr>
              <w:t xml:space="preserve">Votre chiffre</w:t>
            </w:r>
          </w:p>
        </w:tc>
        <w:tc>
          <w:tcPr>
            <w:tcW w:type="dxa" w:w="5626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2A262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9"/>
                <w:szCs w:val="19"/>
              </w:rPr>
              <w:t xml:space="preserve">Lecture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aps w:val="false"/>
                <w:color w:val="3A3530"/>
                <w:sz w:val="21"/>
                <w:szCs w:val="21"/>
              </w:rPr>
              <w:t xml:space="preserve">Reach</w:t>
            </w:r>
          </w:p>
        </w:tc>
        <w:tc>
          <w:tcPr>
            <w:tcW w:type="dxa" w:w="15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12,5 k</w:t>
            </w:r>
          </w:p>
        </w:tc>
        <w:tc>
          <w:tcPr>
            <w:tcW w:type="dxa" w:w="5626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Personnes uniques exposées à la campagne.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3EF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aps w:val="false"/>
                <w:color w:val="3A3530"/>
                <w:sz w:val="21"/>
                <w:szCs w:val="21"/>
              </w:rPr>
              <w:t xml:space="preserve">Engagement rate</w:t>
            </w:r>
          </w:p>
        </w:tc>
        <w:tc>
          <w:tcPr>
            <w:tcW w:type="dxa" w:w="15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3EF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10,7 %</w:t>
            </w:r>
          </w:p>
        </w:tc>
        <w:tc>
          <w:tcPr>
            <w:tcW w:type="dxa" w:w="5626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3EF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Très au-dessus du benchmark (1–5 %) : la création résonne.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aps w:val="false"/>
                <w:color w:val="3A3530"/>
                <w:sz w:val="21"/>
                <w:szCs w:val="21"/>
              </w:rPr>
              <w:t xml:space="preserve">CPM</w:t>
            </w:r>
          </w:p>
        </w:tc>
        <w:tc>
          <w:tcPr>
            <w:tcW w:type="dxa" w:w="15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52 €</w:t>
            </w:r>
          </w:p>
        </w:tc>
        <w:tc>
          <w:tcPr>
            <w:tcW w:type="dxa" w:w="5626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Coût pour 1 000 impressions. Plus c’est bas, plus votre ciblage est efficace.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3EF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aps w:val="false"/>
                <w:color w:val="3A3530"/>
                <w:sz w:val="21"/>
                <w:szCs w:val="21"/>
              </w:rPr>
              <w:t xml:space="preserve">CPC</w:t>
            </w:r>
          </w:p>
        </w:tc>
        <w:tc>
          <w:tcPr>
            <w:tcW w:type="dxa" w:w="15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3EF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10 €</w:t>
            </w:r>
          </w:p>
        </w:tc>
        <w:tc>
          <w:tcPr>
            <w:tcW w:type="dxa" w:w="5626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3EF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Coût par clic vers votre site. 85 clics générés.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aps w:val="false"/>
                <w:color w:val="3A3530"/>
                <w:sz w:val="21"/>
                <w:szCs w:val="21"/>
              </w:rPr>
              <w:t xml:space="preserve">CPE</w:t>
            </w:r>
          </w:p>
        </w:tc>
        <w:tc>
          <w:tcPr>
            <w:tcW w:type="dxa" w:w="15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1 €</w:t>
            </w:r>
          </w:p>
        </w:tc>
        <w:tc>
          <w:tcPr>
            <w:tcW w:type="dxa" w:w="5626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Coût par engagement. À ce niveau, chaque interaction est extrêmement abordable.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3EF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aps w:val="false"/>
                <w:color w:val="3A3530"/>
                <w:sz w:val="21"/>
                <w:szCs w:val="21"/>
              </w:rPr>
              <w:t xml:space="preserve">Conversion rate</w:t>
            </w:r>
          </w:p>
        </w:tc>
        <w:tc>
          <w:tcPr>
            <w:tcW w:type="dxa" w:w="15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3EF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102,4 %</w:t>
            </w:r>
          </w:p>
        </w:tc>
        <w:tc>
          <w:tcPr>
            <w:tcW w:type="dxa" w:w="5626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3EF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Conversions / clics. Le dépassement traduit des conversions multi-touch (un visiteur peut convertir via d’autres canaux).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aps w:val="false"/>
                <w:color w:val="3A3530"/>
                <w:sz w:val="21"/>
                <w:szCs w:val="21"/>
              </w:rPr>
              <w:t xml:space="preserve">ROAS</w:t>
            </w:r>
          </w:p>
        </w:tc>
        <w:tc>
          <w:tcPr>
            <w:tcW w:type="dxa" w:w="15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16,76×</w:t>
            </w:r>
          </w:p>
        </w:tc>
        <w:tc>
          <w:tcPr>
            <w:tcW w:type="dxa" w:w="5626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Return on Ad Spend : chaque euro investi a généré 16,76 € de revenu (14 250 € sur 850 €).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3EF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aps w:val="false"/>
                <w:color w:val="3A3530"/>
                <w:sz w:val="21"/>
                <w:szCs w:val="21"/>
              </w:rPr>
              <w:t xml:space="preserve">ROI</w:t>
            </w:r>
          </w:p>
        </w:tc>
        <w:tc>
          <w:tcPr>
            <w:tcW w:type="dxa" w:w="1500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3EF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1 576 %</w:t>
            </w:r>
          </w:p>
        </w:tc>
        <w:tc>
          <w:tcPr>
            <w:tcW w:type="dxa" w:w="5626"/>
            <w:tcBorders>
              <w:top w:val="single" w:color="D6CFC0" w:sz="4"/>
              <w:left w:val="single" w:color="D6CFC0" w:sz="4"/>
              <w:bottom w:val="single" w:color="D6CFC0" w:sz="4"/>
              <w:right w:val="single" w:color="D6CFC0" w:sz="4"/>
            </w:tcBorders>
            <w:shd w:fill="F3EFE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aps w:val="false"/>
                <w:color w:val="3A3530"/>
                <w:sz w:val="21"/>
                <w:szCs w:val="21"/>
              </w:rPr>
              <w:t xml:space="preserve">Retour sur investissement net. Au-dessus de 0 %, la campagne est rentable. Au-dessus de 100 %, elle dégage un bénéfice net supérieur au coût.</w:t>
            </w:r>
          </w:p>
        </w:tc>
      </w:tr>
    </w:tbl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aps/>
          <w:color w:val="B08968"/>
          <w:spacing w:val="60"/>
          <w:sz w:val="21"/>
          <w:szCs w:val="21"/>
        </w:rPr>
        <w:t xml:space="preserve">Comprendre le ROAS et le ROI — vos deux étoiles polaires</w:t>
      </w:r>
    </w:p>
    <w:p>
      <w:pPr>
        <w:spacing w:after="140" w:line="320"/>
      </w:pPr>
      <w:r>
        <w:rPr>
          <w:rFonts w:ascii="Calibri" w:cs="Calibri" w:eastAsia="Calibri" w:hAnsi="Calibri"/>
          <w:color w:val="3A3530"/>
          <w:sz w:val="22"/>
          <w:szCs w:val="22"/>
        </w:rPr>
        <w:t xml:space="preserve">Ces deux métriques répondent à la seule question qui compte vraiment : </w:t>
      </w:r>
      <w:r>
        <w:rPr>
          <w:rFonts w:ascii="Calibri" w:cs="Calibri" w:eastAsia="Calibri" w:hAnsi="Calibri"/>
          <w:b/>
          <w:bCs/>
          <w:color w:val="2A2620"/>
          <w:sz w:val="22"/>
          <w:szCs w:val="22"/>
        </w:rPr>
        <w:t xml:space="preserve">avez-vous gagné de l’argent ?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2A2620"/>
          <w:sz w:val="22"/>
          <w:szCs w:val="22"/>
        </w:rPr>
        <w:t xml:space="preserve">ROAS (16,76×) : 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pour chaque euro dépensé en publicité, vous avez encaissé 16,76 € de revenu. Au-dessus de 3×, une campagne est considérée très performante. Au-dessus de 10×, exceptionnelle.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2A2620"/>
          <w:sz w:val="22"/>
          <w:szCs w:val="22"/>
        </w:rPr>
        <w:t xml:space="preserve">ROI (1 576 %) : 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le revenu net (après déduction du coût publicitaire) représente plus de 15 fois la dépense engagée. C’est le bon réflexe à vérifier pour décider de reconduire ou d’étendre une campagne.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aps/>
          <w:color w:val="B08968"/>
          <w:spacing w:val="60"/>
          <w:sz w:val="21"/>
          <w:szCs w:val="21"/>
        </w:rPr>
        <w:t xml:space="preserve">Les liens tracés (UTM) — le secret de la mesure</w:t>
      </w:r>
    </w:p>
    <w:p>
      <w:pPr>
        <w:spacing w:after="140" w:line="320"/>
      </w:pPr>
      <w:r>
        <w:rPr>
          <w:rFonts w:ascii="Calibri" w:cs="Calibri" w:eastAsia="Calibri" w:hAnsi="Calibri"/>
          <w:color w:val="3A3530"/>
          <w:sz w:val="22"/>
          <w:szCs w:val="22"/>
        </w:rPr>
        <w:t xml:space="preserve">En bas de la fiche campagne, vous voyez un lien très long qui ressemble à ceci :</w:t>
      </w:r>
    </w:p>
    <w:p>
      <w:pPr>
        <w:spacing w:after="200" w:before="80"/>
      </w:pPr>
      <w:r>
        <w:rPr>
          <w:rFonts w:ascii="Consolas" w:cs="Consolas" w:eastAsia="Consolas" w:hAnsi="Consolas"/>
          <w:color w:val="3A3530"/>
          <w:sz w:val="19"/>
          <w:szCs w:val="19"/>
        </w:rPr>
        <w:t xml:space="preserve">votresite.com?utm_source=instagram&amp;utm_medium=social&amp;utm_campaign=lancement-fw26</w:t>
      </w:r>
    </w:p>
    <w:p>
      <w:pPr>
        <w:spacing w:after="140" w:line="320"/>
      </w:pPr>
      <w:r>
        <w:rPr>
          <w:rFonts w:ascii="Calibri" w:cs="Calibri" w:eastAsia="Calibri" w:hAnsi="Calibri"/>
          <w:color w:val="3A3530"/>
          <w:sz w:val="22"/>
          <w:szCs w:val="22"/>
        </w:rPr>
        <w:t xml:space="preserve">Ces paramètres "UTM" sont invisibles pour vos visiteurs mais ils permettent à votre outil d’analyse de savoir exactement </w:t>
      </w:r>
      <w:r>
        <w:rPr>
          <w:rFonts w:ascii="Calibri" w:cs="Calibri" w:eastAsia="Calibri" w:hAnsi="Calibri"/>
          <w:b/>
          <w:bCs/>
          <w:color w:val="2A2620"/>
          <w:sz w:val="22"/>
          <w:szCs w:val="22"/>
        </w:rPr>
        <w:t xml:space="preserve">d’où chaque visite provient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 — quel réseau social, quelle campagne, quel post. C’est ce qui permet d’attribuer précisément les ventes à leur source, et donc de calculer ces fameux ROAS et ROI avec fiabilité.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2A2620"/>
          <w:sz w:val="22"/>
          <w:szCs w:val="22"/>
        </w:rPr>
        <w:t xml:space="preserve">Notre conseil : 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utilisez toujours le lien tracé proposé par l’interface dans vos bios, swipe-ups et stories de campagne. Un clic dans un lien non tracé = un revenu invisible dans vos analyses.</w:t>
      </w:r>
    </w:p>
    <w:p>
      <w:r>
        <w:br w:type="page"/>
      </w:r>
    </w:p>
    <w:p>
      <w:pPr>
        <w:pStyle w:val="Heading2"/>
        <w:spacing w:after="160" w:before="360"/>
      </w:pPr>
      <w:r>
        <w:rPr>
          <w:rFonts w:ascii="Cambria" w:cs="Cambria" w:eastAsia="Cambria" w:hAnsi="Cambria"/>
          <w:color w:val="2A2620"/>
          <w:sz w:val="32"/>
          <w:szCs w:val="32"/>
        </w:rPr>
        <w:t xml:space="preserve">4. Audience — le comportement réel de vos followers</w:t>
      </w:r>
    </w:p>
    <w:p>
      <w:pPr>
        <w:spacing w:after="140" w:line="320"/>
      </w:pPr>
      <w:r>
        <w:rPr>
          <w:rFonts w:ascii="Calibri" w:cs="Calibri" w:eastAsia="Calibri" w:hAnsi="Calibri"/>
          <w:color w:val="3A3530"/>
          <w:sz w:val="22"/>
          <w:szCs w:val="22"/>
        </w:rPr>
        <w:t xml:space="preserve">Cet onglet répond à la question : </w:t>
      </w:r>
      <w:r>
        <w:rPr>
          <w:rFonts w:ascii="Calibri" w:cs="Calibri" w:eastAsia="Calibri" w:hAnsi="Calibri"/>
          <w:i/>
          <w:iCs/>
          <w:color w:val="3A3530"/>
          <w:sz w:val="22"/>
          <w:szCs w:val="22"/>
        </w:rPr>
        <w:t xml:space="preserve">« Comment et quand parler à mon audience pour maximiser mes chances ? »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 Il regroupe trois analyses croisées.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aps/>
          <w:color w:val="B08968"/>
          <w:spacing w:val="60"/>
          <w:sz w:val="21"/>
          <w:szCs w:val="21"/>
        </w:rPr>
        <w:t xml:space="preserve">Heatmap des meilleurs créneaux (jour × heure)</w:t>
      </w:r>
    </w:p>
    <w:p>
      <w:pPr>
        <w:spacing w:after="140" w:line="320"/>
      </w:pPr>
      <w:r>
        <w:rPr>
          <w:rFonts w:ascii="Calibri" w:cs="Calibri" w:eastAsia="Calibri" w:hAnsi="Calibri"/>
          <w:color w:val="3A3530"/>
          <w:sz w:val="22"/>
          <w:szCs w:val="22"/>
        </w:rPr>
        <w:t xml:space="preserve">La grille montre, pour chaque case jour/heure, la concentration d’engagement obtenue sur vos posts. Plus la case est foncée, meilleur est le créneau pour publier.</w:t>
      </w:r>
    </w:p>
    <w:p>
      <w:pPr>
        <w:spacing w:after="140" w:line="320"/>
      </w:pPr>
      <w:r>
        <w:rPr>
          <w:rFonts w:ascii="Calibri" w:cs="Calibri" w:eastAsia="Calibri" w:hAnsi="Calibri"/>
          <w:color w:val="3A3530"/>
          <w:sz w:val="22"/>
          <w:szCs w:val="22"/>
        </w:rPr>
        <w:t xml:space="preserve">Votre meilleur créneau actuel : </w:t>
      </w:r>
      <w:r>
        <w:rPr>
          <w:rFonts w:ascii="Calibri" w:cs="Calibri" w:eastAsia="Calibri" w:hAnsi="Calibri"/>
          <w:b/>
          <w:bCs/>
          <w:color w:val="2A2620"/>
          <w:sz w:val="22"/>
          <w:szCs w:val="22"/>
        </w:rPr>
        <w:t xml:space="preserve">vendredi vers 17h–18h. 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C’est là que vos contenus performent le mieux — vraisemblablement le moment où votre audience décroche de la semaine de travail et passe en mode "scroll de soirée".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2A2620"/>
          <w:sz w:val="22"/>
          <w:szCs w:val="22"/>
        </w:rPr>
        <w:t xml:space="preserve">Ce que faire de cette information : 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programmez vos publications les plus importantes (Reels, annonces, lancements) sur ces créneaux. Évitez à l’inverse les cases gris claires qui correspondent à vos zones de moindre engagement.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aps/>
          <w:color w:val="B08968"/>
          <w:spacing w:val="60"/>
          <w:sz w:val="21"/>
          <w:szCs w:val="21"/>
        </w:rPr>
        <w:t xml:space="preserve">Format vs performance — que créer en priorité</w:t>
      </w:r>
    </w:p>
    <w:p>
      <w:pPr>
        <w:spacing w:after="140" w:line="320"/>
      </w:pPr>
      <w:r>
        <w:rPr>
          <w:rFonts w:ascii="Calibri" w:cs="Calibri" w:eastAsia="Calibri" w:hAnsi="Calibri"/>
          <w:color w:val="3A3530"/>
          <w:sz w:val="22"/>
          <w:szCs w:val="22"/>
        </w:rPr>
        <w:t xml:space="preserve">Le bloc « Que créer en priorité ? » classe vos formats par taux d’engagement moyen. Sur cette période, les </w:t>
      </w:r>
      <w:r>
        <w:rPr>
          <w:rFonts w:ascii="Calibri" w:cs="Calibri" w:eastAsia="Calibri" w:hAnsi="Calibri"/>
          <w:b/>
          <w:bCs/>
          <w:color w:val="2A2620"/>
          <w:sz w:val="22"/>
          <w:szCs w:val="22"/>
        </w:rPr>
        <w:t xml:space="preserve">Reels affichent un engagement de 10,7 %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, soit votre format le plus performant.</w:t>
      </w:r>
    </w:p>
    <w:p>
      <w:pPr>
        <w:spacing w:after="140" w:line="320"/>
      </w:pPr>
      <w:r>
        <w:rPr>
          <w:rFonts w:ascii="Calibri" w:cs="Calibri" w:eastAsia="Calibri" w:hAnsi="Calibri"/>
          <w:color w:val="3A3530"/>
          <w:sz w:val="22"/>
          <w:szCs w:val="22"/>
        </w:rPr>
        <w:t xml:space="preserve">Au fur et à mesure que vous publierez d’autres formats (carrousels, photos, vidéos TikTok, stories), ce classement s’enrichira et révélera vos formats champions par réseau.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aps/>
          <w:color w:val="B08968"/>
          <w:spacing w:val="60"/>
          <w:sz w:val="21"/>
          <w:szCs w:val="21"/>
        </w:rPr>
        <w:t xml:space="preserve">Performance par hashtag</w:t>
      </w:r>
    </w:p>
    <w:p>
      <w:pPr>
        <w:spacing w:after="140" w:line="320"/>
      </w:pPr>
      <w:r>
        <w:rPr>
          <w:rFonts w:ascii="Calibri" w:cs="Calibri" w:eastAsia="Calibri" w:hAnsi="Calibri"/>
          <w:color w:val="3A3530"/>
          <w:sz w:val="22"/>
          <w:szCs w:val="22"/>
        </w:rPr>
        <w:t xml:space="preserve">Pour chaque hashtag que vous utilisez, vous voyez sa contribution au reach et au taux d’engagement. Sur « Lancement FW26 », les hashtags </w:t>
      </w:r>
      <w:r>
        <w:rPr>
          <w:rFonts w:ascii="Calibri" w:cs="Calibri" w:eastAsia="Calibri" w:hAnsi="Calibri"/>
          <w:b/>
          <w:bCs/>
          <w:color w:val="2A2620"/>
          <w:sz w:val="22"/>
          <w:szCs w:val="22"/>
        </w:rPr>
        <w:t xml:space="preserve">#paris, #bts et #filmmaking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 tirent chacun 12,5 k de reach avec un engagement de 10,7 %.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2A2620"/>
          <w:sz w:val="22"/>
          <w:szCs w:val="22"/>
        </w:rPr>
        <w:t xml:space="preserve">À long terme : 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cette vue vous permettra d’identifier les hashtags qui rapportent vraiment du reach (à garder) et ceux qui occupent juste de la place (à retirer).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2A2620"/>
          <w:sz w:val="22"/>
          <w:szCs w:val="22"/>
        </w:rPr>
        <w:t xml:space="preserve">Tactique : 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combinez 1 hashtag de niche (forte affinité) + 1 hashtag de volume (forte exposition) + 1 hashtag de marque (suivi de communauté). C’est le triptyque qui fonctionne le mieux en 2026.</w:t>
      </w:r>
    </w:p>
    <w:p>
      <w:r>
        <w:br w:type="pag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8A8275"/>
          <w:spacing w:val="80"/>
          <w:sz w:val="18"/>
          <w:szCs w:val="18"/>
        </w:rPr>
        <w:t xml:space="preserve">Partie 3</w:t>
      </w:r>
    </w:p>
    <w:p>
      <w:pPr>
        <w:pStyle w:val="Heading1"/>
        <w:spacing w:after="240" w:before="480"/>
      </w:pPr>
      <w:r>
        <w:rPr>
          <w:rFonts w:ascii="Cambria" w:cs="Cambria" w:eastAsia="Cambria" w:hAnsi="Cambria"/>
          <w:color w:val="2A2620"/>
          <w:sz w:val="44"/>
          <w:szCs w:val="44"/>
        </w:rPr>
        <w:t xml:space="preserve">Votre routine de pilotage</w:t>
      </w:r>
    </w:p>
    <w:p>
      <w:pPr>
        <w:spacing w:after="140" w:line="320"/>
      </w:pPr>
      <w:r>
        <w:rPr>
          <w:rFonts w:ascii="Calibri" w:cs="Calibri" w:eastAsia="Calibri" w:hAnsi="Calibri"/>
          <w:color w:val="3A3530"/>
          <w:sz w:val="22"/>
          <w:szCs w:val="22"/>
        </w:rPr>
        <w:t xml:space="preserve">Un dashboard n’a de valeur que s’il rythme votre prise de décision. Voici la cadence que nous vous recommandons.</w:t>
      </w:r>
    </w:p>
    <w:p>
      <w:pPr>
        <w:pStyle w:val="Heading2"/>
        <w:spacing w:after="160" w:before="360"/>
      </w:pPr>
      <w:r>
        <w:rPr>
          <w:rFonts w:ascii="Cambria" w:cs="Cambria" w:eastAsia="Cambria" w:hAnsi="Cambria"/>
          <w:color w:val="2A2620"/>
          <w:sz w:val="32"/>
          <w:szCs w:val="32"/>
        </w:rPr>
        <w:t xml:space="preserve">Chaque semaine — 5 minutes le lundi matin</w:t>
      </w:r>
    </w:p>
    <w:p>
      <w:pPr>
        <w:spacing w:after="140" w:line="320"/>
      </w:pPr>
      <w:r>
        <w:rPr>
          <w:rFonts w:ascii="Calibri" w:cs="Calibri" w:eastAsia="Calibri" w:hAnsi="Calibri"/>
          <w:color w:val="3A3530"/>
          <w:sz w:val="22"/>
          <w:szCs w:val="22"/>
        </w:rPr>
        <w:t xml:space="preserve">Onglet </w:t>
      </w:r>
      <w:r>
        <w:rPr>
          <w:rFonts w:ascii="Calibri" w:cs="Calibri" w:eastAsia="Calibri" w:hAnsi="Calibri"/>
          <w:b/>
          <w:bCs/>
          <w:color w:val="2A2620"/>
          <w:sz w:val="22"/>
          <w:szCs w:val="22"/>
        </w:rPr>
        <w:t xml:space="preserve">Vue d’ensemble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, période </w:t>
      </w:r>
      <w:r>
        <w:rPr>
          <w:rFonts w:ascii="Calibri" w:cs="Calibri" w:eastAsia="Calibri" w:hAnsi="Calibri"/>
          <w:b/>
          <w:bCs/>
          <w:color w:val="2A2620"/>
          <w:sz w:val="22"/>
          <w:szCs w:val="22"/>
        </w:rPr>
        <w:t xml:space="preserve">7 jours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. Posez-vous ces trois questions 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3A3530"/>
          <w:sz w:val="22"/>
          <w:szCs w:val="22"/>
        </w:rPr>
        <w:t xml:space="preserve">Mon engagement moyen est-il en hausse ou en baisse par rapport à la semaine précédente ?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3A3530"/>
          <w:sz w:val="22"/>
          <w:szCs w:val="22"/>
        </w:rPr>
        <w:t xml:space="preserve">Quel est mon post n°1 de la semaine (podium) et qu’est-ce qu’il a en commun avec mes précédents tops ?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color w:val="3A3530"/>
          <w:sz w:val="22"/>
          <w:szCs w:val="22"/>
        </w:rPr>
        <w:t xml:space="preserve">Ai-je une alerte (post viral, drop d’engagement, sur-dépense) qui demande une réaction ?</w:t>
      </w:r>
    </w:p>
    <w:p>
      <w:pPr>
        <w:spacing w:after="140" w:line="320"/>
      </w:pPr>
      <w:r>
        <w:rPr>
          <w:rFonts w:ascii="Calibri" w:cs="Calibri" w:eastAsia="Calibri" w:hAnsi="Calibri"/>
          <w:color w:val="3A3530"/>
          <w:sz w:val="22"/>
          <w:szCs w:val="22"/>
        </w:rPr>
        <w:t xml:space="preserve">Si la réponse à la troisième question est oui, agissez dans les 48 h : c’est la fenêtre d’opportunité maximale.</w:t>
      </w:r>
    </w:p>
    <w:p>
      <w:pPr>
        <w:pStyle w:val="Heading2"/>
        <w:spacing w:after="160" w:before="360"/>
      </w:pPr>
      <w:r>
        <w:rPr>
          <w:rFonts w:ascii="Cambria" w:cs="Cambria" w:eastAsia="Cambria" w:hAnsi="Cambria"/>
          <w:color w:val="2A2620"/>
          <w:sz w:val="32"/>
          <w:szCs w:val="32"/>
        </w:rPr>
        <w:t xml:space="preserve">Chaque mois — 30 minutes en début de mois</w:t>
      </w:r>
    </w:p>
    <w:p>
      <w:pPr>
        <w:spacing w:after="140" w:line="320"/>
      </w:pPr>
      <w:r>
        <w:rPr>
          <w:rFonts w:ascii="Calibri" w:cs="Calibri" w:eastAsia="Calibri" w:hAnsi="Calibri"/>
          <w:color w:val="3A3530"/>
          <w:sz w:val="22"/>
          <w:szCs w:val="22"/>
        </w:rPr>
        <w:t xml:space="preserve">Onglet </w:t>
      </w:r>
      <w:r>
        <w:rPr>
          <w:rFonts w:ascii="Calibri" w:cs="Calibri" w:eastAsia="Calibri" w:hAnsi="Calibri"/>
          <w:b/>
          <w:bCs/>
          <w:color w:val="2A2620"/>
          <w:sz w:val="22"/>
          <w:szCs w:val="22"/>
        </w:rPr>
        <w:t xml:space="preserve">Audience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, période </w:t>
      </w:r>
      <w:r>
        <w:rPr>
          <w:rFonts w:ascii="Calibri" w:cs="Calibri" w:eastAsia="Calibri" w:hAnsi="Calibri"/>
          <w:b/>
          <w:bCs/>
          <w:color w:val="2A2620"/>
          <w:sz w:val="22"/>
          <w:szCs w:val="22"/>
        </w:rPr>
        <w:t xml:space="preserve">30 jours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. Revue stratégique sur quatre axes 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2A2620"/>
          <w:sz w:val="22"/>
          <w:szCs w:val="22"/>
        </w:rPr>
        <w:t xml:space="preserve">Créneaux : 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mes meilleurs jours/heures ont-ils changé ? J’ajuste mon calendrier éditorial en conséquence.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2A2620"/>
          <w:sz w:val="22"/>
          <w:szCs w:val="22"/>
        </w:rPr>
        <w:t xml:space="preserve">Formats : 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quel type de contenu domine ? Je réalloue mon temps de production vers le format gagnant (60 % gagnant, 30 % support, 10 % test).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2A2620"/>
          <w:sz w:val="22"/>
          <w:szCs w:val="22"/>
        </w:rPr>
        <w:t xml:space="preserve">Hashtags : 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je retire les hashtags qui ne contribuent ni au reach ni à l’engagement. J’en teste 2 ou 3 nouveaux.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2A2620"/>
          <w:sz w:val="22"/>
          <w:szCs w:val="22"/>
        </w:rPr>
        <w:t xml:space="preserve">Audience non-followers : 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mon taux est-il en croissance ? Si non, je travaille mes accroches et mes 3 premières secondes de vidéo.</w:t>
      </w:r>
    </w:p>
    <w:p>
      <w:pPr>
        <w:pStyle w:val="Heading2"/>
        <w:spacing w:after="160" w:before="360"/>
      </w:pPr>
      <w:r>
        <w:rPr>
          <w:rFonts w:ascii="Cambria" w:cs="Cambria" w:eastAsia="Cambria" w:hAnsi="Cambria"/>
          <w:color w:val="2A2620"/>
          <w:sz w:val="32"/>
          <w:szCs w:val="32"/>
        </w:rPr>
        <w:t xml:space="preserve">En fin de campagne — le bilan de vérité</w:t>
      </w:r>
    </w:p>
    <w:p>
      <w:pPr>
        <w:spacing w:after="140" w:line="320"/>
      </w:pPr>
      <w:r>
        <w:rPr>
          <w:rFonts w:ascii="Calibri" w:cs="Calibri" w:eastAsia="Calibri" w:hAnsi="Calibri"/>
          <w:color w:val="3A3530"/>
          <w:sz w:val="22"/>
          <w:szCs w:val="22"/>
        </w:rPr>
        <w:t xml:space="preserve">Onglet </w:t>
      </w:r>
      <w:r>
        <w:rPr>
          <w:rFonts w:ascii="Calibri" w:cs="Calibri" w:eastAsia="Calibri" w:hAnsi="Calibri"/>
          <w:b/>
          <w:bCs/>
          <w:color w:val="2A2620"/>
          <w:sz w:val="22"/>
          <w:szCs w:val="22"/>
        </w:rPr>
        <w:t xml:space="preserve">Campagnes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, sélection de la campagne terminée. Le bilan se lit en quatre temps 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2A2620"/>
          <w:sz w:val="22"/>
          <w:szCs w:val="22"/>
        </w:rPr>
        <w:t xml:space="preserve">Budget réel vs prévu. 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Suis-je resté dans l’enveloppe ? Si j’ai sous-dépensé, pourquoi (mauvais ciblage, créas trop chères au CPM) ?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2A2620"/>
          <w:sz w:val="22"/>
          <w:szCs w:val="22"/>
        </w:rPr>
        <w:t xml:space="preserve">ROAS. 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Au-dessus de 3× : je reconduis. Entre 1× et 3× : j’optimise (cible, format, message). En dessous de 1× : j’arrête et je rebriefe.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2A2620"/>
          <w:sz w:val="22"/>
          <w:szCs w:val="22"/>
        </w:rPr>
        <w:t xml:space="preserve">Posts champions. 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Quels 2 ou 3 contenus ont porté la performance ? J’isole leur recette pour la répliquer.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2A2620"/>
          <w:sz w:val="22"/>
          <w:szCs w:val="22"/>
        </w:rPr>
        <w:t xml:space="preserve">Conversions. 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Le coût par acquisition est-il soutenable par rapport à la valeur client moyenne ? Cela détermine le plafond économique de mes prochaines campagnes.</w:t>
      </w:r>
    </w:p>
    <w:p>
      <w:pPr>
        <w:pStyle w:val="Heading2"/>
        <w:spacing w:after="160" w:before="360"/>
      </w:pPr>
      <w:r>
        <w:rPr>
          <w:rFonts w:ascii="Cambria" w:cs="Cambria" w:eastAsia="Cambria" w:hAnsi="Cambria"/>
          <w:color w:val="2A2620"/>
          <w:sz w:val="32"/>
          <w:szCs w:val="32"/>
        </w:rPr>
        <w:t xml:space="preserve">Trois réflexes à cultiver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2A2620"/>
          <w:sz w:val="22"/>
          <w:szCs w:val="22"/>
        </w:rPr>
        <w:t xml:space="preserve">Comparer plutôt qu’admirer. 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Un chiffre isolé ne dit rien. Comparez toujours à la période précédente, à votre moyenne ou à un benchmark sectoriel.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2A2620"/>
          <w:sz w:val="22"/>
          <w:szCs w:val="22"/>
        </w:rPr>
        <w:t xml:space="preserve">Suivre les saves et les shares. 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Ces deux métriques prédisent la performance future bien mieux que les likes. Elles indiquent que votre contenu a une valeur durable.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alibri" w:cs="Calibri" w:eastAsia="Calibri" w:hAnsi="Calibri"/>
          <w:b/>
          <w:bCs/>
          <w:color w:val="2A2620"/>
          <w:sz w:val="22"/>
          <w:szCs w:val="22"/>
        </w:rPr>
        <w:t xml:space="preserve">Mesurer pour décider, pas pour rassurer. </w:t>
      </w:r>
      <w:r>
        <w:rPr>
          <w:rFonts w:ascii="Calibri" w:cs="Calibri" w:eastAsia="Calibri" w:hAnsi="Calibri"/>
          <w:color w:val="3A3530"/>
          <w:sz w:val="22"/>
          <w:szCs w:val="22"/>
        </w:rPr>
        <w:t xml:space="preserve">Si une donnée ne change pas une décision (créative, budgétaire, éditoriale), elle n’a pas d’intérêt. Concentrez-vous sur les métriques actionnables.</w:t>
      </w:r>
    </w:p>
    <w:p>
      <w:pPr>
        <w:spacing w:after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B08968" w:sz="18"/>
              <w:bottom w:val="none" w:color="FFFFFF" w:sz="0"/>
              <w:right w:val="none" w:color="FFFFFF" w:sz="0"/>
            </w:tcBorders>
            <w:shd w:fill="F3EFE5" w:val="clear"/>
            <w:tcMar>
              <w:top w:type="dxa" w:w="220"/>
              <w:left w:type="dxa" w:w="320"/>
              <w:bottom w:type="dxa" w:w="220"/>
              <w:right w:type="dxa" w:w="2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B08968"/>
                <w:spacing w:val="80"/>
                <w:sz w:val="19"/>
                <w:szCs w:val="19"/>
              </w:rPr>
              <w:t xml:space="preserve">Notre engagement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3A3530"/>
                <w:sz w:val="22"/>
                <w:szCs w:val="22"/>
              </w:rPr>
              <w:t xml:space="preserve">Cette interface évolue en permanence. Si une métrique vous semble manquante, si une lecture est confuse, ou si vous voulez ajouter une analyse spécifique à votre métier (concurrents, sentiment, exports automatiques), nous l’intégrons. Écrivez-nous directement, votre retour fait évoluer le module.</w:t>
            </w:r>
          </w:p>
        </w:tc>
      </w:tr>
    </w:tbl>
    <w:p>
      <w:pPr>
        <w:spacing w:after="400"/>
      </w:pPr>
      <w:r>
        <w:t xml:space="preserve"/>
      </w:r>
    </w:p>
    <w:p>
      <w:pPr>
        <w:pBdr>
          <w:bottom w:val="single" w:color="D6CFC0" w:sz="6" w:space="1"/>
        </w:pBdr>
        <w:spacing w:after="200" w:before="200"/>
      </w:pPr>
      <w:r>
        <w:t xml:space="preserve"/>
      </w:r>
    </w:p>
    <w:p>
      <w:pPr>
        <w:spacing w:before="80"/>
        <w:jc w:val="center"/>
      </w:pPr>
      <w:r>
        <w:rPr>
          <w:rFonts w:ascii="Calibri" w:cs="Calibri" w:eastAsia="Calibri" w:hAnsi="Calibri"/>
          <w:b/>
          <w:bCs/>
          <w:caps/>
          <w:color w:val="8A8275"/>
          <w:spacing w:val="120"/>
          <w:sz w:val="18"/>
          <w:szCs w:val="18"/>
        </w:rPr>
        <w:t xml:space="preserve">TimelessHouse · Studio photo &amp; Agence de communication</w:t>
      </w:r>
    </w:p>
    <w:p>
      <w:pPr>
        <w:spacing w:before="60"/>
        <w:jc w:val="center"/>
      </w:pPr>
      <w:r>
        <w:rPr>
          <w:rFonts w:ascii="Calibri" w:cs="Calibri" w:eastAsia="Calibri" w:hAnsi="Calibri"/>
          <w:i/>
          <w:iCs/>
          <w:color w:val="B08968"/>
          <w:sz w:val="20"/>
          <w:szCs w:val="20"/>
        </w:rPr>
        <w:t xml:space="preserve">timelesshouse.org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mbria" w:cs="Cambria" w:eastAsia="Cambria" w:hAnsi="Cambria"/>
      <w:color w:val="2A262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mbria" w:cs="Cambria" w:eastAsia="Cambria" w:hAnsi="Cambria"/>
      <w:color w:val="2A2620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B08968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Espace Client — Module Analyses</dc:title>
  <dc:creator>TimelessHouse</dc:creator>
  <dc:description>Guide d’accompagnement pour le client TESST &amp; TEST</dc:description>
  <cp:lastModifiedBy>Un-named</cp:lastModifiedBy>
  <cp:revision>1</cp:revision>
  <dcterms:created xsi:type="dcterms:W3CDTF">2026-05-22T14:33:29.637Z</dcterms:created>
  <dcterms:modified xsi:type="dcterms:W3CDTF">2026-05-22T14:33:29.637Z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