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9" w:lineRule="auto"/>
        <w:jc w:val="center"/>
      </w:pPr>
      <w:r>
        <w:rPr>
          <w:rFonts w:ascii="Aptos" w:hAnsi="Aptos"/>
          <w:b/>
          <w:i w:val="0"/>
          <w:color w:val="537B5F"/>
          <w:sz w:val="22"/>
        </w:rPr>
        <w:t>USECOGNIA</w:t>
      </w:r>
    </w:p>
    <w:p>
      <w:pPr>
        <w:spacing w:before="0" w:after="160" w:line="269" w:lineRule="auto"/>
        <w:jc w:val="center"/>
      </w:pPr>
      <w:r>
        <w:rPr>
          <w:rFonts w:ascii="Aptos" w:hAnsi="Aptos"/>
          <w:b/>
          <w:i w:val="0"/>
          <w:color w:val="1B2B35"/>
          <w:sz w:val="48"/>
        </w:rPr>
        <w:t>Uma plataforma para psicólogos que querem reduzir a burocracia sem perder o cuidado.</w:t>
      </w:r>
    </w:p>
    <w:p>
      <w:pPr>
        <w:spacing w:before="0" w:after="360" w:line="269" w:lineRule="auto"/>
        <w:jc w:val="center"/>
      </w:pPr>
      <w:r>
        <w:rPr>
          <w:rFonts w:ascii="Aptos" w:hAnsi="Aptos"/>
          <w:b w:val="0"/>
          <w:i w:val="0"/>
          <w:color w:val="5C6870"/>
          <w:sz w:val="25"/>
        </w:rPr>
        <w:t>Agenda, pacientes, prontuário, evoluções, documentos, financeiro e automações em um único fluxo clínico.</w:t>
      </w:r>
    </w:p>
    <w:p>
      <w:pPr>
        <w:spacing w:before="0" w:after="2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053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landing-usecogn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535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6F1"/>
            <w:tcBorders>
              <w:top w:val="single" w:sz="6" w:space="0" w:color="D9E1DD"/>
              <w:left w:val="single" w:sz="6" w:space="0" w:color="D9E1DD"/>
              <w:bottom w:val="single" w:sz="6" w:space="0" w:color="D9E1DD"/>
              <w:right w:val="single" w:sz="6" w:space="0" w:color="D9E1DD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69" w:lineRule="auto"/>
            </w:pPr>
            <w:r>
              <w:rPr>
                <w:rFonts w:ascii="Aptos" w:hAnsi="Aptos"/>
                <w:b/>
                <w:color w:val="537B5F"/>
                <w:sz w:val="23"/>
              </w:rPr>
              <w:t>Posicionamento</w:t>
            </w:r>
          </w:p>
          <w:p>
            <w:pPr>
              <w:spacing w:before="0" w:after="0" w:line="269" w:lineRule="auto"/>
            </w:pPr>
            <w:r>
              <w:rPr>
                <w:rFonts w:ascii="Aptos" w:hAnsi="Aptos"/>
                <w:color w:val="1B2B35"/>
                <w:sz w:val="21"/>
              </w:rPr>
              <w:t>UseCognia organiza o consultório psicológico com uma experiência simples, segura e pensada para a rotina real de atendimentos.</w:t>
            </w:r>
          </w:p>
        </w:tc>
      </w:tr>
    </w:tbl>
    <w:p/>
    <w:p>
      <w:r>
        <w:br w:type="page"/>
      </w:r>
    </w:p>
    <w:p>
      <w:pPr>
        <w:spacing w:before="320" w:after="160" w:line="269" w:lineRule="auto"/>
      </w:pPr>
      <w:r>
        <w:rPr>
          <w:rFonts w:ascii="Aptos" w:hAnsi="Aptos"/>
          <w:b/>
          <w:color w:val="537B5F"/>
          <w:sz w:val="34"/>
        </w:rPr>
        <w:t>O problema que o UseCognia resolve</w:t>
      </w:r>
    </w:p>
    <w:p>
      <w:pPr>
        <w:spacing w:before="0" w:after="160" w:line="269" w:lineRule="auto"/>
      </w:pPr>
      <w:r>
        <w:rPr>
          <w:rFonts w:ascii="Aptos" w:hAnsi="Aptos"/>
          <w:b w:val="0"/>
          <w:i w:val="0"/>
          <w:color w:val="1B2B35"/>
          <w:sz w:val="22"/>
        </w:rPr>
        <w:t>Psicólogos independentes costumam dividir a rotina entre agenda, WhatsApp, prontuário, documentos, cobranças e planilhas. Essa fragmentação consome tempo, aumenta o risco de esquecimento e tira energia do que realmente sustenta o consultório: o cuidado clínico.</w:t>
      </w:r>
    </w:p>
    <w:p>
      <w:pPr>
        <w:pStyle w:val="ListBullet"/>
        <w:spacing w:before="0" w:after="80" w:line="269" w:lineRule="auto"/>
        <w:ind w:left="360" w:hanging="216"/>
      </w:pPr>
      <w:r>
        <w:rPr>
          <w:rFonts w:ascii="Aptos" w:hAnsi="Aptos"/>
          <w:color w:val="1B2B35"/>
          <w:sz w:val="21"/>
        </w:rPr>
        <w:t>Agenda e confirmação de sessões ficam espalhadas em aplicativos diferentes.</w:t>
      </w:r>
    </w:p>
    <w:p>
      <w:pPr>
        <w:pStyle w:val="ListBullet"/>
        <w:spacing w:before="0" w:after="80" w:line="269" w:lineRule="auto"/>
        <w:ind w:left="360" w:hanging="216"/>
      </w:pPr>
      <w:r>
        <w:rPr>
          <w:rFonts w:ascii="Aptos" w:hAnsi="Aptos"/>
          <w:color w:val="1B2B35"/>
          <w:sz w:val="21"/>
        </w:rPr>
        <w:t>Evoluções e prontuário exigem repetição manual e dificultam consulta rápida.</w:t>
      </w:r>
    </w:p>
    <w:p>
      <w:pPr>
        <w:pStyle w:val="ListBullet"/>
        <w:spacing w:before="0" w:after="80" w:line="269" w:lineRule="auto"/>
        <w:ind w:left="360" w:hanging="216"/>
      </w:pPr>
      <w:r>
        <w:rPr>
          <w:rFonts w:ascii="Aptos" w:hAnsi="Aptos"/>
          <w:color w:val="1B2B35"/>
          <w:sz w:val="21"/>
        </w:rPr>
        <w:t>Faltas, cobranças e pagamentos pendentes nem sempre aparecem no momento certo.</w:t>
      </w:r>
    </w:p>
    <w:p>
      <w:pPr>
        <w:pStyle w:val="ListBullet"/>
        <w:spacing w:before="0" w:after="80" w:line="269" w:lineRule="auto"/>
        <w:ind w:left="360" w:hanging="216"/>
      </w:pPr>
      <w:r>
        <w:rPr>
          <w:rFonts w:ascii="Aptos" w:hAnsi="Aptos"/>
          <w:color w:val="1B2B35"/>
          <w:sz w:val="21"/>
        </w:rPr>
        <w:t>Documentos clínicos e registros precisam de organização, segurança e rastreabilidade.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8"/>
            <w:tcBorders>
              <w:top w:val="single" w:sz="6" w:space="0" w:color="D9E1DD"/>
              <w:left w:val="single" w:sz="6" w:space="0" w:color="D9E1DD"/>
              <w:bottom w:val="single" w:sz="6" w:space="0" w:color="D9E1DD"/>
              <w:right w:val="single" w:sz="6" w:space="0" w:color="D9E1DD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69" w:lineRule="auto"/>
            </w:pPr>
            <w:r>
              <w:rPr>
                <w:rFonts w:ascii="Aptos" w:hAnsi="Aptos"/>
                <w:b/>
                <w:color w:val="537B5F"/>
                <w:sz w:val="23"/>
              </w:rPr>
              <w:t>A oportunidade</w:t>
            </w:r>
          </w:p>
          <w:p>
            <w:pPr>
              <w:spacing w:before="0" w:after="0" w:line="269" w:lineRule="auto"/>
            </w:pPr>
            <w:r>
              <w:rPr>
                <w:rFonts w:ascii="Aptos" w:hAnsi="Aptos"/>
                <w:color w:val="1B2B35"/>
                <w:sz w:val="21"/>
              </w:rPr>
              <w:t>Transformar tarefas administrativas em um fluxo contínuo, onde cada sessão gera as próximas ações: evolução, financeiro, lembrete, documento e acompanhamento.</w:t>
            </w:r>
          </w:p>
        </w:tc>
      </w:tr>
    </w:tbl>
    <w:p/>
    <w:p>
      <w:pPr>
        <w:spacing w:before="320" w:after="160" w:line="269" w:lineRule="auto"/>
      </w:pPr>
      <w:r>
        <w:rPr>
          <w:rFonts w:ascii="Aptos" w:hAnsi="Aptos"/>
          <w:b/>
          <w:color w:val="537B5F"/>
          <w:sz w:val="34"/>
        </w:rPr>
        <w:t>A solução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B2B35"/>
          <w:sz w:val="22"/>
        </w:rPr>
        <w:t>UseCognia centraliza a operação do consultório em uma plataforma desenhada para psicólogos brasileiros. A proposta não é substituir o vínculo terapêutico, mas liberar tempo e atenção para que ele aconteça com mais qualidade.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6F7F8"/>
            <w:tcBorders>
              <w:top w:val="single" w:sz="6" w:space="0" w:color="E1E7E3"/>
              <w:left w:val="single" w:sz="6" w:space="0" w:color="E1E7E3"/>
              <w:bottom w:val="single" w:sz="6" w:space="0" w:color="E1E7E3"/>
              <w:right w:val="single" w:sz="6" w:space="0" w:color="E1E7E3"/>
            </w:tcBorders>
            <w:tcMar>
              <w:top w:w="160" w:type="dxa"/>
              <w:start w:w="180" w:type="dxa"/>
              <w:bottom w:w="160" w:type="dxa"/>
              <w:end w:w="180" w:type="dxa"/>
            </w:tcMar>
            <w:vAlign w:val="top"/>
          </w:tcPr>
          <w:p>
            <w:pPr>
              <w:spacing w:before="0" w:after="80" w:line="269" w:lineRule="auto"/>
            </w:pPr>
            <w:r>
              <w:rPr>
                <w:rFonts w:ascii="Aptos" w:hAnsi="Aptos"/>
                <w:b/>
                <w:color w:val="537B5F"/>
                <w:sz w:val="23"/>
              </w:rPr>
              <w:t>Agenda dinâmica</w:t>
            </w:r>
          </w:p>
          <w:p>
            <w:pPr>
              <w:spacing w:before="0" w:after="0" w:line="269" w:lineRule="auto"/>
            </w:pPr>
            <w:r>
              <w:rPr>
                <w:rFonts w:ascii="Aptos" w:hAnsi="Aptos"/>
                <w:color w:val="1B2B35"/>
                <w:sz w:val="19"/>
              </w:rPr>
              <w:t>Atendimentos organizados por semana, com ações rápidas para evoluir, finalizar, registrar falta, enviar lembrete e acessar o prontuário.</w:t>
            </w:r>
          </w:p>
        </w:tc>
        <w:tc>
          <w:tcPr>
            <w:tcW w:type="dxa" w:w="4680"/>
            <w:shd w:fill="EEF5F7"/>
            <w:tcBorders>
              <w:top w:val="single" w:sz="6" w:space="0" w:color="E1E7E3"/>
              <w:left w:val="single" w:sz="6" w:space="0" w:color="E1E7E3"/>
              <w:bottom w:val="single" w:sz="6" w:space="0" w:color="E1E7E3"/>
              <w:right w:val="single" w:sz="6" w:space="0" w:color="E1E7E3"/>
            </w:tcBorders>
            <w:tcMar>
              <w:top w:w="160" w:type="dxa"/>
              <w:start w:w="180" w:type="dxa"/>
              <w:bottom w:w="160" w:type="dxa"/>
              <w:end w:w="180" w:type="dxa"/>
            </w:tcMar>
            <w:vAlign w:val="top"/>
          </w:tcPr>
          <w:p>
            <w:pPr>
              <w:spacing w:before="0" w:after="80" w:line="269" w:lineRule="auto"/>
            </w:pPr>
            <w:r>
              <w:rPr>
                <w:rFonts w:ascii="Aptos" w:hAnsi="Aptos"/>
                <w:b/>
                <w:color w:val="537B5F"/>
                <w:sz w:val="23"/>
              </w:rPr>
              <w:t>Pacientes e prontuário</w:t>
            </w:r>
          </w:p>
          <w:p>
            <w:pPr>
              <w:spacing w:before="0" w:after="0" w:line="269" w:lineRule="auto"/>
            </w:pPr>
            <w:r>
              <w:rPr>
                <w:rFonts w:ascii="Aptos" w:hAnsi="Aptos"/>
                <w:color w:val="1B2B35"/>
                <w:sz w:val="19"/>
              </w:rPr>
              <w:t>Pacientes em ordem alfabética, informações de acompanhamento, status ativo/inativo/alta, valores cobrados e histórico clínico em um só lugar.</w:t>
            </w:r>
          </w:p>
        </w:tc>
      </w:tr>
      <w:tr>
        <w:tc>
          <w:tcPr>
            <w:tcW w:type="dxa" w:w="4680"/>
            <w:shd w:fill="F6F7F8"/>
            <w:tcBorders>
              <w:top w:val="single" w:sz="6" w:space="0" w:color="E1E7E3"/>
              <w:left w:val="single" w:sz="6" w:space="0" w:color="E1E7E3"/>
              <w:bottom w:val="single" w:sz="6" w:space="0" w:color="E1E7E3"/>
              <w:right w:val="single" w:sz="6" w:space="0" w:color="E1E7E3"/>
            </w:tcBorders>
            <w:tcMar>
              <w:top w:w="160" w:type="dxa"/>
              <w:start w:w="180" w:type="dxa"/>
              <w:bottom w:w="160" w:type="dxa"/>
              <w:end w:w="180" w:type="dxa"/>
            </w:tcMar>
            <w:vAlign w:val="top"/>
          </w:tcPr>
          <w:p>
            <w:pPr>
              <w:spacing w:before="0" w:after="80" w:line="269" w:lineRule="auto"/>
            </w:pPr>
            <w:r>
              <w:rPr>
                <w:rFonts w:ascii="Aptos" w:hAnsi="Aptos"/>
                <w:b/>
                <w:color w:val="537B5F"/>
                <w:sz w:val="23"/>
              </w:rPr>
              <w:t>Evoluções com ditado</w:t>
            </w:r>
          </w:p>
          <w:p>
            <w:pPr>
              <w:spacing w:before="0" w:after="0" w:line="269" w:lineRule="auto"/>
            </w:pPr>
            <w:r>
              <w:rPr>
                <w:rFonts w:ascii="Aptos" w:hAnsi="Aptos"/>
                <w:color w:val="1B2B35"/>
                <w:sz w:val="19"/>
              </w:rPr>
              <w:t>Registro de evolução, resumo da sessão, anotações privadas e próximos passos com opção de ditado por microfone no navegador.</w:t>
            </w:r>
          </w:p>
        </w:tc>
        <w:tc>
          <w:tcPr>
            <w:tcW w:type="dxa" w:w="4680"/>
            <w:shd w:fill="EEF5F7"/>
            <w:tcBorders>
              <w:top w:val="single" w:sz="6" w:space="0" w:color="E1E7E3"/>
              <w:left w:val="single" w:sz="6" w:space="0" w:color="E1E7E3"/>
              <w:bottom w:val="single" w:sz="6" w:space="0" w:color="E1E7E3"/>
              <w:right w:val="single" w:sz="6" w:space="0" w:color="E1E7E3"/>
            </w:tcBorders>
            <w:tcMar>
              <w:top w:w="160" w:type="dxa"/>
              <w:start w:w="180" w:type="dxa"/>
              <w:bottom w:w="160" w:type="dxa"/>
              <w:end w:w="180" w:type="dxa"/>
            </w:tcMar>
            <w:vAlign w:val="top"/>
          </w:tcPr>
          <w:p>
            <w:pPr>
              <w:spacing w:before="0" w:after="80" w:line="269" w:lineRule="auto"/>
            </w:pPr>
            <w:r>
              <w:rPr>
                <w:rFonts w:ascii="Aptos" w:hAnsi="Aptos"/>
                <w:b/>
                <w:color w:val="537B5F"/>
                <w:sz w:val="23"/>
              </w:rPr>
              <w:t>Financeiro e cobrança</w:t>
            </w:r>
          </w:p>
          <w:p>
            <w:pPr>
              <w:spacing w:before="0" w:after="0" w:line="269" w:lineRule="auto"/>
            </w:pPr>
            <w:r>
              <w:rPr>
                <w:rFonts w:ascii="Aptos" w:hAnsi="Aptos"/>
                <w:color w:val="1B2B35"/>
                <w:sz w:val="19"/>
              </w:rPr>
              <w:t>Controle de pagamentos, valores por sessão, cobrança por plano e integração com Asaas para assinatura recorrente mensal.</w:t>
            </w:r>
          </w:p>
        </w:tc>
      </w:tr>
    </w:tbl>
    <w:p/>
    <w:p>
      <w:pPr>
        <w:spacing w:before="320" w:after="160" w:line="269" w:lineRule="auto"/>
      </w:pPr>
      <w:r>
        <w:rPr>
          <w:rFonts w:ascii="Aptos" w:hAnsi="Aptos"/>
          <w:b/>
          <w:color w:val="537B5F"/>
          <w:sz w:val="34"/>
        </w:rPr>
        <w:t>Diferenciais comerciais</w:t>
      </w:r>
    </w:p>
    <w:p>
      <w:pPr>
        <w:pStyle w:val="ListBullet"/>
        <w:spacing w:before="0" w:after="80" w:line="269" w:lineRule="auto"/>
        <w:ind w:left="360" w:hanging="216"/>
      </w:pPr>
      <w:r>
        <w:rPr>
          <w:rFonts w:ascii="Aptos" w:hAnsi="Aptos"/>
          <w:color w:val="1B2B35"/>
          <w:sz w:val="21"/>
        </w:rPr>
        <w:t>Fluxo clínico integrado: a agenda leva direto para a evolução do paciente.</w:t>
      </w:r>
    </w:p>
    <w:p>
      <w:pPr>
        <w:pStyle w:val="ListBullet"/>
        <w:spacing w:before="0" w:after="80" w:line="269" w:lineRule="auto"/>
        <w:ind w:left="360" w:hanging="216"/>
      </w:pPr>
      <w:r>
        <w:rPr>
          <w:rFonts w:ascii="Aptos" w:hAnsi="Aptos"/>
          <w:color w:val="1B2B35"/>
          <w:sz w:val="21"/>
        </w:rPr>
        <w:t>Prontuário e evoluções criptografados, com foco em segurança e privacidade.</w:t>
      </w:r>
    </w:p>
    <w:p>
      <w:pPr>
        <w:pStyle w:val="ListBullet"/>
        <w:spacing w:before="0" w:after="80" w:line="269" w:lineRule="auto"/>
        <w:ind w:left="360" w:hanging="216"/>
      </w:pPr>
      <w:r>
        <w:rPr>
          <w:rFonts w:ascii="Aptos" w:hAnsi="Aptos"/>
          <w:color w:val="1B2B35"/>
          <w:sz w:val="21"/>
        </w:rPr>
        <w:t>Campos relevantes para atendimento humanizado: pronomes, raça/cor, gênero e orientação sexual.</w:t>
      </w:r>
    </w:p>
    <w:p>
      <w:pPr>
        <w:pStyle w:val="ListBullet"/>
        <w:spacing w:before="0" w:after="80" w:line="269" w:lineRule="auto"/>
        <w:ind w:left="360" w:hanging="216"/>
      </w:pPr>
      <w:r>
        <w:rPr>
          <w:rFonts w:ascii="Aptos" w:hAnsi="Aptos"/>
          <w:color w:val="1B2B35"/>
          <w:sz w:val="21"/>
        </w:rPr>
        <w:t>Planos flexíveis: Grátis, Essencial e Pro, com troca de plano antes ou após o trial.</w:t>
      </w:r>
    </w:p>
    <w:p>
      <w:pPr>
        <w:pStyle w:val="ListBullet"/>
        <w:spacing w:before="0" w:after="80" w:line="269" w:lineRule="auto"/>
        <w:ind w:left="360" w:hanging="216"/>
      </w:pPr>
      <w:r>
        <w:rPr>
          <w:rFonts w:ascii="Aptos" w:hAnsi="Aptos"/>
          <w:color w:val="1B2B35"/>
          <w:sz w:val="21"/>
        </w:rPr>
        <w:t>Experiência simples para psicólogos solo, sem aparência de sistema hospitalar pesado.</w:t>
      </w:r>
    </w:p>
    <w:p>
      <w:r>
        <w:br w:type="page"/>
      </w:r>
    </w:p>
    <w:p>
      <w:pPr>
        <w:spacing w:before="320" w:after="160" w:line="269" w:lineRule="auto"/>
      </w:pPr>
      <w:r>
        <w:rPr>
          <w:rFonts w:ascii="Aptos" w:hAnsi="Aptos"/>
          <w:b/>
          <w:color w:val="537B5F"/>
          <w:sz w:val="34"/>
        </w:rPr>
        <w:t>Como a rotina fica mais fluida</w:t>
      </w:r>
    </w:p>
    <w:p>
      <w:pPr>
        <w:spacing w:before="80" w:after="40" w:line="269" w:lineRule="auto"/>
      </w:pPr>
      <w:r>
        <w:rPr>
          <w:rFonts w:ascii="Aptos" w:hAnsi="Aptos"/>
          <w:b/>
          <w:i w:val="0"/>
          <w:color w:val="537B5F"/>
          <w:sz w:val="23"/>
        </w:rPr>
        <w:t>1. Cadastrar paciente</w:t>
      </w:r>
    </w:p>
    <w:p>
      <w:pPr>
        <w:spacing w:before="0" w:after="100" w:line="269" w:lineRule="auto"/>
      </w:pPr>
      <w:r>
        <w:rPr>
          <w:rFonts w:ascii="Aptos" w:hAnsi="Aptos"/>
          <w:b w:val="0"/>
          <w:i w:val="0"/>
          <w:color w:val="1B2B35"/>
          <w:sz w:val="21"/>
        </w:rPr>
        <w:t>Dados essenciais, informações clínicas, valor da sessão e status de acompanhamento.</w:t>
      </w:r>
    </w:p>
    <w:p>
      <w:pPr>
        <w:spacing w:before="80" w:after="40" w:line="269" w:lineRule="auto"/>
      </w:pPr>
      <w:r>
        <w:rPr>
          <w:rFonts w:ascii="Aptos" w:hAnsi="Aptos"/>
          <w:b/>
          <w:i w:val="0"/>
          <w:color w:val="537B5F"/>
          <w:sz w:val="23"/>
        </w:rPr>
        <w:t>2. Agendar atendimento</w:t>
      </w:r>
    </w:p>
    <w:p>
      <w:pPr>
        <w:spacing w:before="0" w:after="100" w:line="269" w:lineRule="auto"/>
      </w:pPr>
      <w:r>
        <w:rPr>
          <w:rFonts w:ascii="Aptos" w:hAnsi="Aptos"/>
          <w:b w:val="0"/>
          <w:i w:val="0"/>
          <w:color w:val="1B2B35"/>
          <w:sz w:val="21"/>
        </w:rPr>
        <w:t>Sessão presencial ou online, com recorrência e horário fixo quando necessário.</w:t>
      </w:r>
    </w:p>
    <w:p>
      <w:pPr>
        <w:spacing w:before="80" w:after="40" w:line="269" w:lineRule="auto"/>
      </w:pPr>
      <w:r>
        <w:rPr>
          <w:rFonts w:ascii="Aptos" w:hAnsi="Aptos"/>
          <w:b/>
          <w:i w:val="0"/>
          <w:color w:val="537B5F"/>
          <w:sz w:val="23"/>
        </w:rPr>
        <w:t>3. Atender e evoluir</w:t>
      </w:r>
    </w:p>
    <w:p>
      <w:pPr>
        <w:spacing w:before="0" w:after="100" w:line="269" w:lineRule="auto"/>
      </w:pPr>
      <w:r>
        <w:rPr>
          <w:rFonts w:ascii="Aptos" w:hAnsi="Aptos"/>
          <w:b w:val="0"/>
          <w:i w:val="0"/>
          <w:color w:val="1B2B35"/>
          <w:sz w:val="21"/>
        </w:rPr>
        <w:t>Da própria agenda, abrir a evolução já vinculada ao paciente e à sessão.</w:t>
      </w:r>
    </w:p>
    <w:p>
      <w:pPr>
        <w:spacing w:before="80" w:after="40" w:line="269" w:lineRule="auto"/>
      </w:pPr>
      <w:r>
        <w:rPr>
          <w:rFonts w:ascii="Aptos" w:hAnsi="Aptos"/>
          <w:b/>
          <w:i w:val="0"/>
          <w:color w:val="537B5F"/>
          <w:sz w:val="23"/>
        </w:rPr>
        <w:t>4. Fechar pendências</w:t>
      </w:r>
    </w:p>
    <w:p>
      <w:pPr>
        <w:spacing w:before="0" w:after="100" w:line="269" w:lineRule="auto"/>
      </w:pPr>
      <w:r>
        <w:rPr>
          <w:rFonts w:ascii="Aptos" w:hAnsi="Aptos"/>
          <w:b w:val="0"/>
          <w:i w:val="0"/>
          <w:color w:val="1B2B35"/>
          <w:sz w:val="21"/>
        </w:rPr>
        <w:t>Marcar finalizada ou falta, registrar pagamento e acompanhar cobranças.</w:t>
      </w:r>
    </w:p>
    <w:p>
      <w:pPr>
        <w:spacing w:before="80" w:after="40" w:line="269" w:lineRule="auto"/>
      </w:pPr>
      <w:r>
        <w:rPr>
          <w:rFonts w:ascii="Aptos" w:hAnsi="Aptos"/>
          <w:b/>
          <w:i w:val="0"/>
          <w:color w:val="537B5F"/>
          <w:sz w:val="23"/>
        </w:rPr>
        <w:t>5. Acompanhar o consultório</w:t>
      </w:r>
    </w:p>
    <w:p>
      <w:pPr>
        <w:spacing w:before="0" w:after="100" w:line="269" w:lineRule="auto"/>
      </w:pPr>
      <w:r>
        <w:rPr>
          <w:rFonts w:ascii="Aptos" w:hAnsi="Aptos"/>
          <w:b w:val="0"/>
          <w:i w:val="0"/>
          <w:color w:val="1B2B35"/>
          <w:sz w:val="21"/>
        </w:rPr>
        <w:t>Dashboard, histórico, documentos e financeiro sustentam decisões do dia a dia.</w:t>
      </w:r>
    </w:p>
    <w:p>
      <w:pPr>
        <w:spacing w:before="320" w:after="160" w:line="269" w:lineRule="auto"/>
      </w:pPr>
      <w:r>
        <w:rPr>
          <w:rFonts w:ascii="Aptos" w:hAnsi="Aptos"/>
          <w:b/>
          <w:color w:val="537B5F"/>
          <w:sz w:val="34"/>
        </w:rPr>
        <w:t>Planos</w:t>
      </w:r>
    </w:p>
    <w:p>
      <w:pPr>
        <w:spacing w:before="0" w:after="160" w:line="269" w:lineRule="auto"/>
      </w:pPr>
      <w:r>
        <w:rPr>
          <w:rFonts w:ascii="Aptos" w:hAnsi="Aptos"/>
          <w:b w:val="0"/>
          <w:i w:val="0"/>
          <w:color w:val="1B2B35"/>
          <w:sz w:val="22"/>
        </w:rPr>
        <w:t>A estrutura de planos permite começar simples e evoluir conforme a demanda do consultório. Durante o trial, a profissional pode escolher Pro ou Essencial; se mudar de ideia antes da cobrança, o plano e cobranças pendentes são ajustados.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800"/>
        <w:gridCol w:w="2500"/>
        <w:gridCol w:w="5060"/>
      </w:tblGrid>
      <w:tr>
        <w:tc>
          <w:tcPr>
            <w:tcW w:type="dxa" w:w="1800"/>
            <w:shd w:fill="EEF6F1"/>
            <w:tcBorders>
              <w:top w:val="single" w:sz="8" w:space="0" w:color="D9E1DD"/>
              <w:left w:val="single" w:sz="8" w:space="0" w:color="D9E1DD"/>
              <w:bottom w:val="single" w:sz="8" w:space="0" w:color="D9E1DD"/>
              <w:right w:val="single" w:sz="8" w:space="0" w:color="D9E1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color w:val="537B5F"/>
                <w:sz w:val="21"/>
              </w:rPr>
              <w:t>Plano</w:t>
            </w:r>
          </w:p>
        </w:tc>
        <w:tc>
          <w:tcPr>
            <w:tcW w:type="dxa" w:w="2500"/>
            <w:shd w:fill="EEF6F1"/>
            <w:tcBorders>
              <w:top w:val="single" w:sz="8" w:space="0" w:color="D9E1DD"/>
              <w:left w:val="single" w:sz="8" w:space="0" w:color="D9E1DD"/>
              <w:bottom w:val="single" w:sz="8" w:space="0" w:color="D9E1DD"/>
              <w:right w:val="single" w:sz="8" w:space="0" w:color="D9E1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color w:val="537B5F"/>
                <w:sz w:val="21"/>
              </w:rPr>
              <w:t>Para quem é</w:t>
            </w:r>
          </w:p>
        </w:tc>
        <w:tc>
          <w:tcPr>
            <w:tcW w:type="dxa" w:w="5060"/>
            <w:shd w:fill="EEF6F1"/>
            <w:tcBorders>
              <w:top w:val="single" w:sz="8" w:space="0" w:color="D9E1DD"/>
              <w:left w:val="single" w:sz="8" w:space="0" w:color="D9E1DD"/>
              <w:bottom w:val="single" w:sz="8" w:space="0" w:color="D9E1DD"/>
              <w:right w:val="single" w:sz="8" w:space="0" w:color="D9E1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color w:val="537B5F"/>
                <w:sz w:val="21"/>
              </w:rPr>
              <w:t>Principais entregas</w:t>
            </w:r>
          </w:p>
        </w:tc>
      </w:tr>
      <w:tr>
        <w:tc>
          <w:tcPr>
            <w:tcW w:type="dxa" w:w="1800"/>
            <w:tcBorders>
              <w:top w:val="single" w:sz="8" w:space="0" w:color="D9E1DD"/>
              <w:left w:val="single" w:sz="8" w:space="0" w:color="D9E1DD"/>
              <w:bottom w:val="single" w:sz="8" w:space="0" w:color="D9E1DD"/>
              <w:right w:val="single" w:sz="8" w:space="0" w:color="D9E1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B2B35"/>
                <w:sz w:val="19"/>
              </w:rPr>
              <w:t>Grátis</w:t>
            </w:r>
          </w:p>
        </w:tc>
        <w:tc>
          <w:tcPr>
            <w:tcW w:type="dxa" w:w="2500"/>
            <w:tcBorders>
              <w:top w:val="single" w:sz="8" w:space="0" w:color="D9E1DD"/>
              <w:left w:val="single" w:sz="8" w:space="0" w:color="D9E1DD"/>
              <w:bottom w:val="single" w:sz="8" w:space="0" w:color="D9E1DD"/>
              <w:right w:val="single" w:sz="8" w:space="0" w:color="D9E1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color w:val="1B2B35"/>
                <w:sz w:val="19"/>
              </w:rPr>
              <w:t>Organização inicial</w:t>
            </w:r>
          </w:p>
        </w:tc>
        <w:tc>
          <w:tcPr>
            <w:tcW w:type="dxa" w:w="5060"/>
            <w:tcBorders>
              <w:top w:val="single" w:sz="8" w:space="0" w:color="D9E1DD"/>
              <w:left w:val="single" w:sz="8" w:space="0" w:color="D9E1DD"/>
              <w:bottom w:val="single" w:sz="8" w:space="0" w:color="D9E1DD"/>
              <w:right w:val="single" w:sz="8" w:space="0" w:color="D9E1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color w:val="1B2B35"/>
                <w:sz w:val="19"/>
              </w:rPr>
              <w:t>Agenda básica, até 10 pacientes, financeiro básico</w:t>
            </w:r>
          </w:p>
        </w:tc>
      </w:tr>
      <w:tr>
        <w:tc>
          <w:tcPr>
            <w:tcW w:type="dxa" w:w="1800"/>
            <w:tcBorders>
              <w:top w:val="single" w:sz="8" w:space="0" w:color="D9E1DD"/>
              <w:left w:val="single" w:sz="8" w:space="0" w:color="D9E1DD"/>
              <w:bottom w:val="single" w:sz="8" w:space="0" w:color="D9E1DD"/>
              <w:right w:val="single" w:sz="8" w:space="0" w:color="D9E1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B2B35"/>
                <w:sz w:val="19"/>
              </w:rPr>
              <w:t>Essencial</w:t>
            </w:r>
          </w:p>
        </w:tc>
        <w:tc>
          <w:tcPr>
            <w:tcW w:type="dxa" w:w="2500"/>
            <w:tcBorders>
              <w:top w:val="single" w:sz="8" w:space="0" w:color="D9E1DD"/>
              <w:left w:val="single" w:sz="8" w:space="0" w:color="D9E1DD"/>
              <w:bottom w:val="single" w:sz="8" w:space="0" w:color="D9E1DD"/>
              <w:right w:val="single" w:sz="8" w:space="0" w:color="D9E1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color w:val="1B2B35"/>
                <w:sz w:val="19"/>
              </w:rPr>
              <w:t>Rotina clínica profissional</w:t>
            </w:r>
          </w:p>
        </w:tc>
        <w:tc>
          <w:tcPr>
            <w:tcW w:type="dxa" w:w="5060"/>
            <w:tcBorders>
              <w:top w:val="single" w:sz="8" w:space="0" w:color="D9E1DD"/>
              <w:left w:val="single" w:sz="8" w:space="0" w:color="D9E1DD"/>
              <w:bottom w:val="single" w:sz="8" w:space="0" w:color="D9E1DD"/>
              <w:right w:val="single" w:sz="8" w:space="0" w:color="D9E1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color w:val="1B2B35"/>
                <w:sz w:val="19"/>
              </w:rPr>
              <w:t>Até 50 pacientes, documentos, link público, cobranças e lembretes manuais</w:t>
            </w:r>
          </w:p>
        </w:tc>
      </w:tr>
      <w:tr>
        <w:tc>
          <w:tcPr>
            <w:tcW w:type="dxa" w:w="1800"/>
            <w:tcBorders>
              <w:top w:val="single" w:sz="8" w:space="0" w:color="D9E1DD"/>
              <w:left w:val="single" w:sz="8" w:space="0" w:color="D9E1DD"/>
              <w:bottom w:val="single" w:sz="8" w:space="0" w:color="D9E1DD"/>
              <w:right w:val="single" w:sz="8" w:space="0" w:color="D9E1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B2B35"/>
                <w:sz w:val="19"/>
              </w:rPr>
              <w:t>Pro</w:t>
            </w:r>
          </w:p>
        </w:tc>
        <w:tc>
          <w:tcPr>
            <w:tcW w:type="dxa" w:w="2500"/>
            <w:tcBorders>
              <w:top w:val="single" w:sz="8" w:space="0" w:color="D9E1DD"/>
              <w:left w:val="single" w:sz="8" w:space="0" w:color="D9E1DD"/>
              <w:bottom w:val="single" w:sz="8" w:space="0" w:color="D9E1DD"/>
              <w:right w:val="single" w:sz="8" w:space="0" w:color="D9E1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color w:val="1B2B35"/>
                <w:sz w:val="19"/>
              </w:rPr>
              <w:t>Automação e crescimento</w:t>
            </w:r>
          </w:p>
        </w:tc>
        <w:tc>
          <w:tcPr>
            <w:tcW w:type="dxa" w:w="5060"/>
            <w:tcBorders>
              <w:top w:val="single" w:sz="8" w:space="0" w:color="D9E1DD"/>
              <w:left w:val="single" w:sz="8" w:space="0" w:color="D9E1DD"/>
              <w:bottom w:val="single" w:sz="8" w:space="0" w:color="D9E1DD"/>
              <w:right w:val="single" w:sz="8" w:space="0" w:color="D9E1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color w:val="1B2B35"/>
                <w:sz w:val="19"/>
              </w:rPr>
              <w:t>Pacientes ilimitados, instrumentos clínicos, relatórios e automações avançadas</w:t>
            </w:r>
          </w:p>
        </w:tc>
      </w:tr>
    </w:tbl>
    <w:p/>
    <w:p>
      <w:pPr>
        <w:spacing w:before="320" w:after="160" w:line="269" w:lineRule="auto"/>
      </w:pPr>
      <w:r>
        <w:rPr>
          <w:rFonts w:ascii="Aptos" w:hAnsi="Aptos"/>
          <w:b/>
          <w:color w:val="537B5F"/>
          <w:sz w:val="34"/>
        </w:rPr>
        <w:t>Mensagem de venda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5F7"/>
            <w:tcBorders>
              <w:top w:val="single" w:sz="6" w:space="0" w:color="D9E1DD"/>
              <w:left w:val="single" w:sz="6" w:space="0" w:color="D9E1DD"/>
              <w:bottom w:val="single" w:sz="6" w:space="0" w:color="D9E1DD"/>
              <w:right w:val="single" w:sz="6" w:space="0" w:color="D9E1DD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69" w:lineRule="auto"/>
            </w:pPr>
            <w:r>
              <w:rPr>
                <w:rFonts w:ascii="Aptos" w:hAnsi="Aptos"/>
                <w:b/>
                <w:color w:val="537B5F"/>
                <w:sz w:val="23"/>
              </w:rPr>
              <w:t>UseCognia é para psicólogos que querem menos abas abertas, menos retrabalho e mais clareza sobre cada paciente, sessão e cobrança.</w:t>
            </w:r>
          </w:p>
          <w:p>
            <w:pPr>
              <w:spacing w:before="0" w:after="0" w:line="269" w:lineRule="auto"/>
            </w:pPr>
            <w:r>
              <w:rPr>
                <w:rFonts w:ascii="Aptos" w:hAnsi="Aptos"/>
                <w:color w:val="1B2B35"/>
                <w:sz w:val="21"/>
              </w:rPr>
              <w:t>A plataforma organiza a rotina clínica com leveza: cada tela foi pensada para transformar uma ação em continuidade, sem exigir que o profissional vire gestor de sistema.</w:t>
            </w:r>
          </w:p>
        </w:tc>
      </w:tr>
    </w:tbl>
    <w:p/>
    <w:p>
      <w:pPr>
        <w:spacing w:before="320" w:after="160" w:line="269" w:lineRule="auto"/>
      </w:pPr>
      <w:r>
        <w:rPr>
          <w:rFonts w:ascii="Aptos" w:hAnsi="Aptos"/>
          <w:b/>
          <w:color w:val="537B5F"/>
          <w:sz w:val="34"/>
        </w:rPr>
        <w:t>Chamada para demonstração</w:t>
      </w:r>
    </w:p>
    <w:p>
      <w:pPr>
        <w:spacing w:before="0" w:after="80" w:line="269" w:lineRule="auto"/>
      </w:pPr>
      <w:r>
        <w:rPr>
          <w:rFonts w:ascii="Aptos" w:hAnsi="Aptos"/>
          <w:b w:val="0"/>
          <w:i w:val="0"/>
          <w:color w:val="1B2B35"/>
          <w:sz w:val="24"/>
        </w:rPr>
        <w:t>Conheça o UseCognia em funcionamento e veja como agenda, prontuário, evolução, financeiro e planos se conectam em uma rotina única.</w:t>
      </w:r>
    </w:p>
    <w:p>
      <w:pPr>
        <w:spacing w:before="0" w:after="0" w:line="269" w:lineRule="auto"/>
      </w:pPr>
      <w:r>
        <w:rPr>
          <w:rFonts w:ascii="Aptos" w:hAnsi="Aptos"/>
          <w:b/>
          <w:i w:val="0"/>
          <w:color w:val="537B5F"/>
          <w:sz w:val="28"/>
        </w:rPr>
        <w:t>usecognia.com.br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C6870"/>
        <w:sz w:val="18"/>
      </w:rPr>
      <w:t>usecognia.com.br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9" w:lineRule="auto"/>
    </w:pPr>
    <w:r>
      <w:rPr>
        <w:rFonts w:ascii="Aptos" w:hAnsi="Aptos"/>
        <w:color w:val="5C6870"/>
        <w:sz w:val="18"/>
      </w:rPr>
      <w:t>UseCognia | Apresentação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B2B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1B2B35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1B2B35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