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center"/>
      </w:pPr>
      <w:r>
        <w:rPr>
          <w:rFonts w:ascii="Calibri" w:hAnsi="Calibri" w:eastAsia="Calibri"/>
          <w:b/>
          <w:color w:val="2F7657"/>
          <w:sz w:val="30"/>
        </w:rPr>
        <w:t>USECOGNIA</w:t>
      </w:r>
    </w:p>
    <w:p>
      <w:pPr>
        <w:spacing w:after="200" w:before="0" w:line="276" w:lineRule="auto"/>
        <w:jc w:val="center"/>
      </w:pPr>
      <w:r>
        <w:rPr>
          <w:rFonts w:ascii="Calibri" w:hAnsi="Calibri" w:eastAsia="Calibri"/>
          <w:b/>
          <w:color w:val="1D352D"/>
          <w:sz w:val="68"/>
        </w:rPr>
        <w:t>Identidade visual</w:t>
      </w:r>
    </w:p>
    <w:p>
      <w:pPr>
        <w:spacing w:after="360" w:before="0" w:line="276" w:lineRule="auto"/>
        <w:jc w:val="center"/>
      </w:pPr>
      <w:r>
        <w:rPr>
          <w:rFonts w:ascii="Calibri" w:hAnsi="Calibri" w:eastAsia="Calibri"/>
          <w:b w:val="0"/>
          <w:color w:val="7C776B"/>
          <w:sz w:val="26"/>
        </w:rPr>
        <w:t>Direção de marca, logotipos, paleta, ícones e padrões de interface para um SaaS clínico mais profissional.</w:t>
      </w:r>
    </w:p>
    <w:p>
      <w:r>
        <w:drawing>
          <wp:inline xmlns:a="http://schemas.openxmlformats.org/drawingml/2006/main" xmlns:pic="http://schemas.openxmlformats.org/drawingml/2006/picture">
            <wp:extent cx="5989320" cy="3368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-sys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8F3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 w:before="0" w:line="276" w:lineRule="auto"/>
            </w:pPr>
            <w:r>
              <w:rPr>
                <w:rFonts w:ascii="Calibri" w:hAnsi="Calibri" w:eastAsia="Calibri"/>
                <w:b/>
                <w:color w:val="244D3D"/>
                <w:sz w:val="24"/>
              </w:rPr>
              <w:t>Conceito central</w:t>
            </w:r>
          </w:p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color w:val="37332E"/>
                <w:sz w:val="21"/>
              </w:rPr>
              <w:t>UseCognia é a tecnologia que organiza a rotina clínica sem competir com o vínculo terapêutico. A marca precisa parecer discreta, confiável e humana.</w:t>
            </w:r>
          </w:p>
        </w:tc>
      </w:tr>
    </w:tbl>
    <w:p/>
    <w:p>
      <w:r>
        <w:br w:type="page"/>
      </w:r>
    </w:p>
    <w:p>
      <w:pPr>
        <w:spacing w:after="120" w:before="320" w:line="276" w:lineRule="auto"/>
      </w:pPr>
      <w:r>
        <w:rPr>
          <w:rFonts w:ascii="Calibri" w:hAnsi="Calibri" w:eastAsia="Calibri"/>
          <w:b/>
          <w:color w:val="244D3D"/>
          <w:sz w:val="36"/>
        </w:rPr>
        <w:t>1. Estratégia de marca</w:t>
      </w:r>
    </w:p>
    <w:p>
      <w:pPr>
        <w:spacing w:after="120" w:before="0" w:line="288" w:lineRule="auto"/>
      </w:pPr>
      <w:r>
        <w:rPr>
          <w:rFonts w:ascii="Calibri" w:hAnsi="Calibri" w:eastAsia="Calibri"/>
          <w:b/>
          <w:color w:val="37332E"/>
          <w:sz w:val="22"/>
        </w:rPr>
        <w:t>Promessa: menos abas abertas, menos retrabalho e mais clareza para conduzir cada atendimento.</w:t>
      </w:r>
    </w:p>
    <w:p>
      <w:pPr>
        <w:spacing w:after="120" w:before="0" w:line="288" w:lineRule="auto"/>
      </w:pPr>
      <w:r>
        <w:rPr>
          <w:rFonts w:ascii="Calibri" w:hAnsi="Calibri" w:eastAsia="Calibri"/>
          <w:b w:val="0"/>
          <w:color w:val="37332E"/>
          <w:sz w:val="22"/>
        </w:rPr>
        <w:t>Personalidade: acolhedora, precisa, reservada, organizada e moderna. O tom evita exagero promocional e fala com psicólogos como profissionais autônomos que precisam de eficiência sem perder sensibilidade.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Não parecer hospital genérico, CRM agressivo ou ferramenta infantilizada.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Priorizar leitura rápida, hierarquia calma e poucos elementos decorativos.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Usar imagens e ilustrações que mostrem rotina clínica, agenda e organização, não símbolos clichês de saúde mental.</w:t>
      </w:r>
    </w:p>
    <w:p>
      <w:pPr>
        <w:spacing w:after="120" w:before="320" w:line="276" w:lineRule="auto"/>
      </w:pPr>
      <w:r>
        <w:rPr>
          <w:rFonts w:ascii="Calibri" w:hAnsi="Calibri" w:eastAsia="Calibri"/>
          <w:b/>
          <w:color w:val="244D3D"/>
          <w:sz w:val="36"/>
        </w:rPr>
        <w:t>2. Logo e símbolo</w:t>
      </w:r>
    </w:p>
    <w:p>
      <w:pPr>
        <w:spacing w:after="120" w:before="0" w:line="288" w:lineRule="auto"/>
      </w:pPr>
      <w:r>
        <w:rPr>
          <w:rFonts w:ascii="Calibri" w:hAnsi="Calibri" w:eastAsia="Calibri"/>
          <w:b w:val="0"/>
          <w:color w:val="37332E"/>
          <w:sz w:val="22"/>
        </w:rPr>
        <w:t>O símbolo combina a letra C com conexões internas, sugerindo cognição, continuidade do cuidado e fluxo de informações clínicas. A recomendação é migrar o acento principal para verde sage com azul mist, preservando tecnologia sem depender de roxo genérico.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Logo horizontal: uso principal em site, propostas e cabeçalhos.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Símbolo isolado: favicon, PWA, avatar, loading e pequenos espaços.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Versão negativa: fundos escuros, apresentações e materiais institucionais.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Área de respiro: manter no mínimo metade da altura do símbolo ao redor do logo.</w:t>
      </w:r>
    </w:p>
    <w:p>
      <w:pPr>
        <w:spacing w:after="120" w:before="320" w:line="276" w:lineRule="auto"/>
      </w:pPr>
      <w:r>
        <w:rPr>
          <w:rFonts w:ascii="Calibri" w:hAnsi="Calibri" w:eastAsia="Calibri"/>
          <w:b/>
          <w:color w:val="244D3D"/>
          <w:sz w:val="36"/>
        </w:rPr>
        <w:t>3. Paleta cromática</w:t>
      </w:r>
    </w:p>
    <w:p>
      <w:pPr>
        <w:spacing w:after="120" w:before="0" w:line="288" w:lineRule="auto"/>
      </w:pPr>
      <w:r>
        <w:rPr>
          <w:rFonts w:ascii="Calibri" w:hAnsi="Calibri" w:eastAsia="Calibri"/>
          <w:b w:val="0"/>
          <w:color w:val="37332E"/>
          <w:sz w:val="22"/>
        </w:rPr>
        <w:t>Regra prática: fundo claro neutro, texto grafite, ações em sage e informações secundárias em mist. O warm entra apenas para dar humanidade em ilustrações, avatares ou pequenos detalhes.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1700"/>
        <w:gridCol w:w="1400"/>
        <w:gridCol w:w="1500"/>
        <w:gridCol w:w="4760"/>
      </w:tblGrid>
      <w:tr>
        <w:tc>
          <w:tcPr>
            <w:tcW w:type="dxa" w:w="1700"/>
            <w:shd w:fill="EEF8F3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/>
                <w:color w:val="244D3D"/>
                <w:sz w:val="20"/>
              </w:rPr>
              <w:t>Nome</w:t>
            </w:r>
          </w:p>
        </w:tc>
        <w:tc>
          <w:tcPr>
            <w:tcW w:type="dxa" w:w="1400"/>
            <w:shd w:fill="EEF8F3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/>
                <w:color w:val="244D3D"/>
                <w:sz w:val="20"/>
              </w:rPr>
              <w:t>Amostra</w:t>
            </w:r>
          </w:p>
        </w:tc>
        <w:tc>
          <w:tcPr>
            <w:tcW w:type="dxa" w:w="1500"/>
            <w:shd w:fill="EEF8F3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/>
                <w:color w:val="244D3D"/>
                <w:sz w:val="20"/>
              </w:rPr>
              <w:t>HEX</w:t>
            </w:r>
          </w:p>
        </w:tc>
        <w:tc>
          <w:tcPr>
            <w:tcW w:type="dxa" w:w="4760"/>
            <w:shd w:fill="EEF8F3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/>
                <w:color w:val="244D3D"/>
                <w:sz w:val="20"/>
              </w:rPr>
              <w:t>Uso</w:t>
            </w:r>
          </w:p>
        </w:tc>
      </w:tr>
      <w:tr>
        <w:tc>
          <w:tcPr>
            <w:tcW w:type="dxa" w:w="17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37332E"/>
                <w:sz w:val="20"/>
              </w:rPr>
              <w:t>Sage 500</w:t>
            </w:r>
          </w:p>
        </w:tc>
        <w:tc>
          <w:tcPr>
            <w:tcW w:type="dxa" w:w="14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2F7657"/>
          </w:tcPr>
          <w:p/>
        </w:tc>
        <w:tc>
          <w:tcPr>
            <w:tcW w:type="dxa" w:w="15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37332E"/>
                <w:sz w:val="20"/>
              </w:rPr>
              <w:t>#2F7657</w:t>
            </w:r>
          </w:p>
        </w:tc>
        <w:tc>
          <w:tcPr>
            <w:tcW w:type="dxa" w:w="476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37332E"/>
                <w:sz w:val="20"/>
              </w:rPr>
              <w:t>Ação primária, navegação ativa, marca principal.</w:t>
            </w:r>
          </w:p>
        </w:tc>
      </w:tr>
      <w:tr>
        <w:tc>
          <w:tcPr>
            <w:tcW w:type="dxa" w:w="17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37332E"/>
                <w:sz w:val="20"/>
              </w:rPr>
              <w:t>Sage 700</w:t>
            </w:r>
          </w:p>
        </w:tc>
        <w:tc>
          <w:tcPr>
            <w:tcW w:type="dxa" w:w="14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244D3D"/>
          </w:tcPr>
          <w:p/>
        </w:tc>
        <w:tc>
          <w:tcPr>
            <w:tcW w:type="dxa" w:w="15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37332E"/>
                <w:sz w:val="20"/>
              </w:rPr>
              <w:t>#244D3D</w:t>
            </w:r>
          </w:p>
        </w:tc>
        <w:tc>
          <w:tcPr>
            <w:tcW w:type="dxa" w:w="476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37332E"/>
                <w:sz w:val="20"/>
              </w:rPr>
              <w:t>Títulos, contraste, estados fortes e versão institucional.</w:t>
            </w:r>
          </w:p>
        </w:tc>
      </w:tr>
      <w:tr>
        <w:tc>
          <w:tcPr>
            <w:tcW w:type="dxa" w:w="17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37332E"/>
                <w:sz w:val="20"/>
              </w:rPr>
              <w:t>Mist 400</w:t>
            </w:r>
          </w:p>
        </w:tc>
        <w:tc>
          <w:tcPr>
            <w:tcW w:type="dxa" w:w="14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4DA8DA"/>
          </w:tcPr>
          <w:p/>
        </w:tc>
        <w:tc>
          <w:tcPr>
            <w:tcW w:type="dxa" w:w="15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37332E"/>
                <w:sz w:val="20"/>
              </w:rPr>
              <w:t>#4DA8DA</w:t>
            </w:r>
          </w:p>
        </w:tc>
        <w:tc>
          <w:tcPr>
            <w:tcW w:type="dxa" w:w="476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37332E"/>
                <w:sz w:val="20"/>
              </w:rPr>
              <w:t>Acento tecnológico, links e informação sem urgência.</w:t>
            </w:r>
          </w:p>
        </w:tc>
      </w:tr>
      <w:tr>
        <w:tc>
          <w:tcPr>
            <w:tcW w:type="dxa" w:w="17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37332E"/>
                <w:sz w:val="20"/>
              </w:rPr>
              <w:t>Neutral 50</w:t>
            </w:r>
          </w:p>
        </w:tc>
        <w:tc>
          <w:tcPr>
            <w:tcW w:type="dxa" w:w="14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BFBF8"/>
          </w:tcPr>
          <w:p/>
        </w:tc>
        <w:tc>
          <w:tcPr>
            <w:tcW w:type="dxa" w:w="15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37332E"/>
                <w:sz w:val="20"/>
              </w:rPr>
              <w:t>#FBFBF8</w:t>
            </w:r>
          </w:p>
        </w:tc>
        <w:tc>
          <w:tcPr>
            <w:tcW w:type="dxa" w:w="476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37332E"/>
                <w:sz w:val="20"/>
              </w:rPr>
              <w:t>Fundo de telas e materiais comerciais.</w:t>
            </w:r>
          </w:p>
        </w:tc>
      </w:tr>
      <w:tr>
        <w:tc>
          <w:tcPr>
            <w:tcW w:type="dxa" w:w="17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37332E"/>
                <w:sz w:val="20"/>
              </w:rPr>
              <w:t>Neutral 800</w:t>
            </w:r>
          </w:p>
        </w:tc>
        <w:tc>
          <w:tcPr>
            <w:tcW w:type="dxa" w:w="14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37332E"/>
          </w:tcPr>
          <w:p/>
        </w:tc>
        <w:tc>
          <w:tcPr>
            <w:tcW w:type="dxa" w:w="15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37332E"/>
                <w:sz w:val="20"/>
              </w:rPr>
              <w:t>#37332E</w:t>
            </w:r>
          </w:p>
        </w:tc>
        <w:tc>
          <w:tcPr>
            <w:tcW w:type="dxa" w:w="476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color w:val="37332E"/>
                <w:sz w:val="20"/>
              </w:rPr>
              <w:t>Texto principal e leitura longa.</w:t>
            </w:r>
          </w:p>
        </w:tc>
      </w:tr>
    </w:tbl>
    <w:p/>
    <w:p>
      <w:pPr>
        <w:spacing w:after="120" w:before="320" w:line="276" w:lineRule="auto"/>
      </w:pPr>
      <w:r>
        <w:rPr>
          <w:rFonts w:ascii="Calibri" w:hAnsi="Calibri" w:eastAsia="Calibri"/>
          <w:b/>
          <w:color w:val="244D3D"/>
          <w:sz w:val="36"/>
        </w:rPr>
        <w:t>4. Tipografia</w:t>
      </w:r>
    </w:p>
    <w:p>
      <w:pPr>
        <w:spacing w:after="120" w:before="0" w:line="288" w:lineRule="auto"/>
      </w:pPr>
      <w:r>
        <w:rPr>
          <w:rFonts w:ascii="Calibri" w:hAnsi="Calibri" w:eastAsia="Calibri"/>
          <w:b w:val="0"/>
          <w:color w:val="37332E"/>
          <w:sz w:val="22"/>
        </w:rPr>
        <w:t>Produto: Inter em toda a interface, com títulos em Semibold e corpo em Regular/Medium. Materiais comerciais podem usar Inter ou Poppins para títulos; documentos Word devem manter Aptos ou Calibri para compatibilidade.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Títulos de tela: 24 a 32 px, peso 600, sem letter spacing negativo.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Corpo de interface: 14 a 16 px, line-height confortável.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Labels: 12 px, peso 600, caixa alta somente quando realmente útil.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Botões: texto curto, peso 500 ou 600, acompanhados de ícone quando a ação for recorrente.</w:t>
      </w:r>
    </w:p>
    <w:p>
      <w:pPr>
        <w:spacing w:after="120" w:before="320" w:line="276" w:lineRule="auto"/>
      </w:pPr>
      <w:r>
        <w:rPr>
          <w:rFonts w:ascii="Calibri" w:hAnsi="Calibri" w:eastAsia="Calibri"/>
          <w:b/>
          <w:color w:val="244D3D"/>
          <w:sz w:val="36"/>
        </w:rPr>
        <w:t>5. Ícones</w:t>
      </w:r>
    </w:p>
    <w:p>
      <w:pPr>
        <w:spacing w:after="120" w:before="0" w:line="288" w:lineRule="auto"/>
      </w:pPr>
      <w:r>
        <w:rPr>
          <w:rFonts w:ascii="Calibri" w:hAnsi="Calibri" w:eastAsia="Calibri"/>
          <w:b w:val="0"/>
          <w:color w:val="37332E"/>
          <w:sz w:val="22"/>
        </w:rPr>
        <w:t>A iconografia deve continuar baseada em linhas simples, cantos arredondados e metáforas reconhecíveis. Ícones funcionais devem ser discretos; ícones maiores podem usar fundo sage claro.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Stroke: 2 px para interface; 1,5 px a 3 px para materiais grandes.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Evitar ícones preenchidos demais, emojis e desenhos com expressão infantil.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Conjunto inicial incluso: agenda, pacientes, prontuário, evolução, documentos, financeiro, planos, notificações, configurações e microfone.</w:t>
      </w:r>
    </w:p>
    <w:p>
      <w:pPr>
        <w:spacing w:after="120" w:before="320" w:line="276" w:lineRule="auto"/>
      </w:pPr>
      <w:r>
        <w:rPr>
          <w:rFonts w:ascii="Calibri" w:hAnsi="Calibri" w:eastAsia="Calibri"/>
          <w:b/>
          <w:color w:val="244D3D"/>
          <w:sz w:val="36"/>
        </w:rPr>
        <w:t>6. Interface e componentes</w:t>
      </w:r>
    </w:p>
    <w:p>
      <w:r>
        <w:drawing>
          <wp:inline xmlns:a="http://schemas.openxmlformats.org/drawingml/2006/main" xmlns:pic="http://schemas.openxmlformats.org/drawingml/2006/picture">
            <wp:extent cx="5440680" cy="30603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sys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6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88" w:lineRule="auto"/>
      </w:pPr>
      <w:r>
        <w:rPr>
          <w:rFonts w:ascii="Calibri" w:hAnsi="Calibri" w:eastAsia="Calibri"/>
          <w:b w:val="0"/>
          <w:color w:val="37332E"/>
          <w:sz w:val="22"/>
        </w:rPr>
        <w:t>Cards, modais e tabelas devem parecer ferramentas de trabalho, não peças decorativas. O produto precisa favorecer repetição diária: ler, clicar, resolver e seguir.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Botão primário: sage 500, texto branco, raio 12 px.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Cards: superfície branca, borda neutra clara, sombra muito baixa.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Badges: status clínico e financeiro com cores suaves e texto claro.</w:t>
      </w:r>
    </w:p>
    <w:p>
      <w:pPr>
        <w:spacing w:after="120" w:before="320" w:line="276" w:lineRule="auto"/>
      </w:pPr>
      <w:r>
        <w:rPr>
          <w:rFonts w:ascii="Calibri" w:hAnsi="Calibri" w:eastAsia="Calibri"/>
          <w:b/>
          <w:color w:val="244D3D"/>
          <w:sz w:val="36"/>
        </w:rPr>
        <w:t>7. Aplicações comerciais</w:t>
      </w:r>
    </w:p>
    <w:p>
      <w:pPr>
        <w:spacing w:after="120" w:before="0" w:line="288" w:lineRule="auto"/>
      </w:pPr>
      <w:r>
        <w:rPr>
          <w:rFonts w:ascii="Calibri" w:hAnsi="Calibri" w:eastAsia="Calibri"/>
          <w:b w:val="0"/>
          <w:color w:val="37332E"/>
          <w:sz w:val="22"/>
        </w:rPr>
        <w:t>Landing page, apresentações e materiais de venda devem mostrar o produto em uso: agenda, paciente, evolução, financeiro e planos. A comunicação deve vender fluidez e segurança, não apenas uma lista de funcionalidades.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8FD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 w:before="0" w:line="276" w:lineRule="auto"/>
            </w:pPr>
            <w:r>
              <w:rPr>
                <w:rFonts w:ascii="Calibri" w:hAnsi="Calibri" w:eastAsia="Calibri"/>
                <w:b/>
                <w:color w:val="244D3D"/>
                <w:sz w:val="24"/>
              </w:rPr>
              <w:t>Mensagem principal</w:t>
            </w:r>
          </w:p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color w:val="37332E"/>
                <w:sz w:val="21"/>
              </w:rPr>
              <w:t>UseCognia centraliza a rotina do consultório psicológico para que cada sessão gere as próximas ações: evolução, acompanhamento, cobrança e documentos.</w:t>
            </w:r>
          </w:p>
        </w:tc>
      </w:tr>
    </w:tbl>
    <w:p/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Headline recomendada: Organize sua rotina clínica sem perder o cuidado.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Subheadline: Agenda, pacientes, prontuário, evoluções, documentos e financeiro em um fluxo simples para psicólogos.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Prova de valor: menos retrabalho, menos esquecimento, mais continuidade do tratamento.</w:t>
      </w:r>
    </w:p>
    <w:p>
      <w:pPr>
        <w:spacing w:after="120" w:before="320" w:line="276" w:lineRule="auto"/>
      </w:pPr>
      <w:r>
        <w:rPr>
          <w:rFonts w:ascii="Calibri" w:hAnsi="Calibri" w:eastAsia="Calibri"/>
          <w:b/>
          <w:color w:val="244D3D"/>
          <w:sz w:val="36"/>
        </w:rPr>
        <w:t>8. O que evitar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Excesso de emojis, roxo saturado, gradientes chamativos e linguagem de startup genérica.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Cards empilhados dentro de cards ou telas com visual promocional demais em áreas operacionais.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Ícones metafóricos demais para ações simples, como finalizar sessão, evoluir ou cobrar.</w:t>
      </w:r>
    </w:p>
    <w:p>
      <w:pPr>
        <w:pStyle w:val="ListBullet"/>
        <w:spacing w:after="60" w:before="0" w:line="276" w:lineRule="auto"/>
      </w:pPr>
      <w:r>
        <w:rPr>
          <w:rFonts w:ascii="Calibri" w:hAnsi="Calibri" w:eastAsia="Calibri"/>
          <w:b w:val="0"/>
          <w:color w:val="37332E"/>
          <w:sz w:val="21"/>
        </w:rPr>
        <w:t>Textos longos em botões, badges ou menus.</w:t>
      </w:r>
    </w:p>
    <w:p>
      <w:pPr>
        <w:spacing w:after="120" w:before="320" w:line="276" w:lineRule="auto"/>
      </w:pPr>
      <w:r>
        <w:rPr>
          <w:rFonts w:ascii="Calibri" w:hAnsi="Calibri" w:eastAsia="Calibri"/>
          <w:b/>
          <w:color w:val="244D3D"/>
          <w:sz w:val="36"/>
        </w:rPr>
        <w:t>9. Arquivos entregues</w:t>
      </w:r>
    </w:p>
    <w:p>
      <w:pPr>
        <w:spacing w:after="120" w:before="0" w:line="288" w:lineRule="auto"/>
      </w:pPr>
      <w:r>
        <w:rPr>
          <w:rFonts w:ascii="Calibri" w:hAnsi="Calibri" w:eastAsia="Calibri"/>
          <w:b w:val="0"/>
          <w:color w:val="37332E"/>
          <w:sz w:val="21"/>
        </w:rPr>
        <w:t>Além dos logos, o pacote inclui brand-assets/icons/*.svg e brand-assets/usecognia-brand-tokens.json como referência para design e desenvolvimento.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shd w:fill="EEF8F3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/>
                <w:color w:val="244D3D"/>
                <w:sz w:val="20"/>
              </w:rPr>
              <w:t>Item</w:t>
            </w:r>
          </w:p>
        </w:tc>
        <w:tc>
          <w:tcPr>
            <w:tcW w:type="dxa" w:w="3300"/>
            <w:shd w:fill="EEF8F3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/>
                <w:color w:val="244D3D"/>
                <w:sz w:val="20"/>
              </w:rPr>
              <w:t>Arquivo</w:t>
            </w:r>
          </w:p>
        </w:tc>
        <w:tc>
          <w:tcPr>
            <w:tcW w:type="dxa" w:w="3860"/>
            <w:shd w:fill="EEF8F3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/>
                <w:color w:val="244D3D"/>
                <w:sz w:val="20"/>
              </w:rPr>
              <w:t>Uso recomendado</w:t>
            </w:r>
          </w:p>
        </w:tc>
      </w:tr>
      <w:tr>
        <w:tc>
          <w:tcPr>
            <w:tcW w:type="dxa" w:w="22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/>
                <w:color w:val="37332E"/>
                <w:sz w:val="20"/>
              </w:rPr>
              <w:t>Logo horizontal</w:t>
            </w:r>
          </w:p>
        </w:tc>
        <w:tc>
          <w:tcPr>
            <w:tcW w:type="dxa" w:w="33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 w:val="0"/>
                <w:color w:val="205D82"/>
                <w:sz w:val="19"/>
              </w:rPr>
              <w:t>brand-assets/usecognia-logo-horizontal.svg</w:t>
            </w:r>
          </w:p>
        </w:tc>
        <w:tc>
          <w:tcPr>
            <w:tcW w:type="dxa" w:w="386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 w:val="0"/>
                <w:color w:val="37332E"/>
                <w:sz w:val="20"/>
              </w:rPr>
              <w:t>Cabeçalho, propostas, landing page.</w:t>
            </w:r>
          </w:p>
        </w:tc>
      </w:tr>
      <w:tr>
        <w:tc>
          <w:tcPr>
            <w:tcW w:type="dxa" w:w="22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/>
                <w:color w:val="37332E"/>
                <w:sz w:val="20"/>
              </w:rPr>
              <w:t>Logo vertical</w:t>
            </w:r>
          </w:p>
        </w:tc>
        <w:tc>
          <w:tcPr>
            <w:tcW w:type="dxa" w:w="33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 w:val="0"/>
                <w:color w:val="205D82"/>
                <w:sz w:val="19"/>
              </w:rPr>
              <w:t>brand-assets/usecognia-logo-vertical.svg</w:t>
            </w:r>
          </w:p>
        </w:tc>
        <w:tc>
          <w:tcPr>
            <w:tcW w:type="dxa" w:w="386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 w:val="0"/>
                <w:color w:val="37332E"/>
                <w:sz w:val="20"/>
              </w:rPr>
              <w:t>Materiais quadrados ou capa.</w:t>
            </w:r>
          </w:p>
        </w:tc>
      </w:tr>
      <w:tr>
        <w:tc>
          <w:tcPr>
            <w:tcW w:type="dxa" w:w="22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/>
                <w:color w:val="37332E"/>
                <w:sz w:val="20"/>
              </w:rPr>
              <w:t>Símbolo</w:t>
            </w:r>
          </w:p>
        </w:tc>
        <w:tc>
          <w:tcPr>
            <w:tcW w:type="dxa" w:w="33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 w:val="0"/>
                <w:color w:val="205D82"/>
                <w:sz w:val="19"/>
              </w:rPr>
              <w:t>brand-assets/usecognia-symbol.svg</w:t>
            </w:r>
          </w:p>
        </w:tc>
        <w:tc>
          <w:tcPr>
            <w:tcW w:type="dxa" w:w="386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 w:val="0"/>
                <w:color w:val="37332E"/>
                <w:sz w:val="20"/>
              </w:rPr>
              <w:t>App icon, favicon, avatar de produto.</w:t>
            </w:r>
          </w:p>
        </w:tc>
      </w:tr>
      <w:tr>
        <w:tc>
          <w:tcPr>
            <w:tcW w:type="dxa" w:w="22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/>
                <w:color w:val="37332E"/>
                <w:sz w:val="20"/>
              </w:rPr>
              <w:t>Logo negativo</w:t>
            </w:r>
          </w:p>
        </w:tc>
        <w:tc>
          <w:tcPr>
            <w:tcW w:type="dxa" w:w="330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 w:val="0"/>
                <w:color w:val="205D82"/>
                <w:sz w:val="19"/>
              </w:rPr>
              <w:t>brand-assets/usecognia-logo-negative.svg</w:t>
            </w:r>
          </w:p>
        </w:tc>
        <w:tc>
          <w:tcPr>
            <w:tcW w:type="dxa" w:w="3860"/>
            <w:tcBorders>
              <w:top w:val="single" w:sz="6" w:space="0" w:color="DDE7E1"/>
              <w:left w:val="single" w:sz="6" w:space="0" w:color="DDE7E1"/>
              <w:bottom w:val="single" w:sz="6" w:space="0" w:color="DDE7E1"/>
              <w:right w:val="single" w:sz="6" w:space="0" w:color="DDE7E1"/>
              <w:insideH w:val="single" w:sz="6" w:space="0" w:color="DDE7E1"/>
              <w:insideV w:val="single" w:sz="6" w:space="0" w:color="DDE7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 w:eastAsia="Calibri"/>
                <w:b w:val="0"/>
                <w:color w:val="37332E"/>
                <w:sz w:val="20"/>
              </w:rPr>
              <w:t>Fundos escuros e banners institucionais.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38" w:bottom="1123" w:left="1238" w:header="518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7C776B"/>
        <w:sz w:val="18"/>
      </w:rPr>
      <w:t>usecognia.com.br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76" w:lineRule="auto"/>
    </w:pPr>
    <w:r>
      <w:rPr>
        <w:rFonts w:ascii="Calibri" w:hAnsi="Calibri" w:eastAsia="Calibri"/>
        <w:b/>
        <w:color w:val="7C776B"/>
        <w:sz w:val="18"/>
      </w:rPr>
      <w:t>UseCognia | Identidade visual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3733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