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6600CC"/>
  <w:body>
    <w:p w:rsidR="007E7537" w:rsidRDefault="007E7537" w:rsidP="007E7537">
      <w:pPr>
        <w:pStyle w:val="Ttulo1"/>
        <w:rPr>
          <w:rFonts w:ascii="Futura Md BT" w:eastAsia="Times New Roman" w:hAnsi="Futura Md BT"/>
          <w:color w:val="FFFF00"/>
          <w:lang w:eastAsia="pt-BR"/>
        </w:rPr>
      </w:pPr>
      <w:r w:rsidRPr="007E7537">
        <w:rPr>
          <w:rFonts w:ascii="Futura Md BT" w:eastAsia="Times New Roman" w:hAnsi="Futura Md BT"/>
          <w:color w:val="FFFF00"/>
          <w:lang w:eastAsia="pt-BR"/>
        </w:rPr>
        <w:t>Nuvem Pública - Cotas e Preços</w:t>
      </w:r>
    </w:p>
    <w:p w:rsidR="007E7537" w:rsidRDefault="007E7537" w:rsidP="007E7537">
      <w:pPr>
        <w:rPr>
          <w:lang w:eastAsia="pt-BR"/>
        </w:rPr>
      </w:pPr>
    </w:p>
    <w:p w:rsidR="007E7537" w:rsidRPr="007E7537" w:rsidRDefault="007E7537" w:rsidP="007E7537">
      <w:pPr>
        <w:rPr>
          <w:rFonts w:ascii="Calibri" w:eastAsia="DFPOP1-W9" w:hAnsi="Calibri" w:cs="Calibri" w:hint="eastAsia"/>
          <w:b/>
          <w:lang w:eastAsia="pt-BR"/>
        </w:rPr>
      </w:pPr>
      <w:r w:rsidRPr="007E7537">
        <w:rPr>
          <w:rFonts w:ascii="Arial Black" w:hAnsi="Arial Black"/>
          <w:b/>
          <w:lang w:eastAsia="pt-BR"/>
        </w:rPr>
        <w:t>Nome:</w:t>
      </w:r>
      <w:r>
        <w:rPr>
          <w:rFonts w:ascii="Arial Black" w:hAnsi="Arial Black"/>
          <w:b/>
          <w:lang w:eastAsia="pt-BR"/>
        </w:rPr>
        <w:t xml:space="preserve"> </w:t>
      </w:r>
      <w:r>
        <w:rPr>
          <w:rFonts w:ascii="DFPOP1-W9" w:eastAsia="DFPOP1-W9" w:hAnsi="Chiller"/>
          <w:b/>
          <w:lang w:eastAsia="pt-BR"/>
        </w:rPr>
        <w:t>G</w:t>
      </w:r>
      <w:bookmarkStart w:id="0" w:name="_GoBack"/>
      <w:bookmarkEnd w:id="0"/>
      <w:r>
        <w:rPr>
          <w:rFonts w:ascii="DFPOP1-W9" w:eastAsia="DFPOP1-W9" w:hAnsi="Chiller"/>
          <w:b/>
          <w:lang w:eastAsia="pt-BR"/>
        </w:rPr>
        <w:t>ilson Fernando Ferreira J</w:t>
      </w:r>
      <w:r w:rsidRPr="007E7537">
        <w:rPr>
          <w:rFonts w:ascii="DFPOP1-W9" w:eastAsia="DFPOP1-W9" w:hAnsi="Calibri" w:cs="Calibri" w:hint="eastAsia"/>
          <w:b/>
          <w:lang w:eastAsia="pt-BR"/>
        </w:rPr>
        <w:t>ú</w:t>
      </w:r>
      <w:r w:rsidRPr="007E7537">
        <w:rPr>
          <w:rFonts w:ascii="DFPOP1-W9" w:eastAsia="DFPOP1-W9" w:hAnsi="Calibri" w:cs="Calibri" w:hint="eastAsia"/>
          <w:b/>
          <w:lang w:eastAsia="pt-BR"/>
        </w:rPr>
        <w:t>nior</w:t>
      </w:r>
    </w:p>
    <w:p w:rsidR="007E7537" w:rsidRPr="007E7537" w:rsidRDefault="007E7537" w:rsidP="007E7537">
      <w:pPr>
        <w:rPr>
          <w:rFonts w:ascii="DFPOP1-W9" w:eastAsia="DFPOP1-W9" w:hAnsi="Arial Black" w:hint="eastAsia"/>
          <w:b/>
          <w:lang w:eastAsia="pt-BR"/>
        </w:rPr>
      </w:pPr>
      <w:r w:rsidRPr="007E7537">
        <w:rPr>
          <w:rFonts w:ascii="Arial Black" w:hAnsi="Arial Black"/>
          <w:b/>
          <w:lang w:eastAsia="pt-BR"/>
        </w:rPr>
        <w:t>Turma:</w:t>
      </w:r>
      <w:r>
        <w:rPr>
          <w:rFonts w:ascii="Arial Black" w:hAnsi="Arial Black"/>
          <w:b/>
          <w:lang w:eastAsia="pt-BR"/>
        </w:rPr>
        <w:t xml:space="preserve"> </w:t>
      </w:r>
      <w:r>
        <w:rPr>
          <w:rFonts w:ascii="DFPOP1-W9" w:eastAsia="DFPOP1-W9" w:hAnsi="Arial Black"/>
          <w:b/>
          <w:lang w:eastAsia="pt-BR"/>
        </w:rPr>
        <w:t>A 3</w:t>
      </w:r>
      <w:r>
        <w:rPr>
          <w:rFonts w:ascii="DFPOP1-W9" w:eastAsia="DFPOP1-W9" w:hAnsi="Arial Black"/>
          <w:b/>
          <w:lang w:eastAsia="pt-BR"/>
        </w:rPr>
        <w:t>°</w:t>
      </w:r>
      <w:r>
        <w:rPr>
          <w:rFonts w:ascii="DFPOP1-W9" w:eastAsia="DFPOP1-W9" w:hAnsi="Arial Black"/>
          <w:b/>
          <w:lang w:eastAsia="pt-BR"/>
        </w:rPr>
        <w:t>INFO</w:t>
      </w:r>
    </w:p>
    <w:p w:rsidR="007E7537" w:rsidRDefault="007E7537" w:rsidP="007E7537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</w:p>
    <w:p w:rsidR="007E7537" w:rsidRPr="007E7537" w:rsidRDefault="007E7537" w:rsidP="007E7537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 xml:space="preserve">A cobrança de serviços em nuvem pública varia de fornecedor para fornecedor, mas a maioria adota modelos baseados em consumo, onde o usuário paga conforme o uso de recursos, como armazenamento, computação e transferência de dados. Vou explicar alguns aspectos comuns sobre como os principais fornecedores de nuvem pública controlam e cobram pelos serviços, com exemplos específicos de fornecedores conhecidos, como </w:t>
      </w:r>
      <w:proofErr w:type="spellStart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Amazon</w:t>
      </w:r>
      <w:proofErr w:type="spellEnd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 xml:space="preserve"> Web Services (AWS), Microsoft Azure e Google Cloud Platform (GCP).</w:t>
      </w:r>
    </w:p>
    <w:p w:rsidR="007E7537" w:rsidRPr="007E7537" w:rsidRDefault="007E7537" w:rsidP="007E7537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  <w:t xml:space="preserve">1. </w:t>
      </w:r>
      <w:proofErr w:type="spellStart"/>
      <w:r w:rsidRPr="007E7537"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  <w:t>Amazon</w:t>
      </w:r>
      <w:proofErr w:type="spellEnd"/>
      <w:r w:rsidRPr="007E7537"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  <w:t xml:space="preserve"> Web Services (AWS)</w:t>
      </w:r>
    </w:p>
    <w:p w:rsidR="007E7537" w:rsidRPr="007E7537" w:rsidRDefault="007E7537" w:rsidP="007E7537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A AWS oferece uma vasta gama de serviços, e a cobrança é baseada principalmente no consumo real de recursos. Os principais critérios de cobrança são:</w:t>
      </w:r>
    </w:p>
    <w:p w:rsidR="007E7537" w:rsidRPr="007E7537" w:rsidRDefault="007E7537" w:rsidP="007E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Cotas e Preços por Hora/Minuto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Os serviços, como máquinas virtuais (EC2), bancos de dados (RDS) e armazenamento (S3), cobram por hora ou minuto de uso. Por exemplo, se você criar uma instância EC2, pagará conforme a quantidade de horas em que a instância permanecer ativa.</w:t>
      </w:r>
    </w:p>
    <w:p w:rsidR="007E7537" w:rsidRPr="007E7537" w:rsidRDefault="007E7537" w:rsidP="007E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Volume de Dados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No caso de serviços de armazenamento (como o S3), a AWS cobra com base no volume de dados armazenados por mês. Também pode haver cobranças extras por transferência de dados, como o tráfego de entrada e saída.</w:t>
      </w:r>
    </w:p>
    <w:p w:rsidR="007E7537" w:rsidRPr="007E7537" w:rsidRDefault="007E7537" w:rsidP="007E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Serviços de Rede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Para a transferência de dados entre regiões ou para a internet, a AWS cobra com base no volume de dados transferidos.</w:t>
      </w:r>
    </w:p>
    <w:p w:rsidR="007E7537" w:rsidRPr="007E7537" w:rsidRDefault="007E7537" w:rsidP="007E75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Modelo de Preço sob Demanda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O modelo de precificação sob demanda permite que você pague exatamente pelo que usar, sem compromisso de longo prazo. No entanto, também existem opções de descontos com o compromisso de uso, como as instâncias reservadas.</w:t>
      </w:r>
    </w:p>
    <w:p w:rsidR="007E7537" w:rsidRPr="007E7537" w:rsidRDefault="007E7537" w:rsidP="007E7537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  <w:t>2. Microsoft Azure</w:t>
      </w:r>
    </w:p>
    <w:p w:rsidR="007E7537" w:rsidRPr="007E7537" w:rsidRDefault="007E7537" w:rsidP="007E7537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lastRenderedPageBreak/>
        <w:t>O modelo de cobrança do Azure é similar ao da AWS, com foco no consumo de recursos. As formas mais comuns de cobrança incluem:</w:t>
      </w:r>
    </w:p>
    <w:p w:rsidR="007E7537" w:rsidRPr="007E7537" w:rsidRDefault="007E7537" w:rsidP="007E7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Cotas por Hora ou por Minuto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Para máquinas virtuais (</w:t>
      </w:r>
      <w:proofErr w:type="spellStart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VMs</w:t>
      </w:r>
      <w:proofErr w:type="spellEnd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 xml:space="preserve">) e outros recursos de computação, o Azure cobra conforme a quantidade de tempo em que o serviço está em uso. As </w:t>
      </w:r>
      <w:proofErr w:type="spellStart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VMs</w:t>
      </w:r>
      <w:proofErr w:type="spellEnd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 xml:space="preserve"> são cobradas por hora ou minuto, dependendo do tipo de instância.</w:t>
      </w:r>
    </w:p>
    <w:p w:rsidR="007E7537" w:rsidRPr="007E7537" w:rsidRDefault="007E7537" w:rsidP="007E7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Volume de Dados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 xml:space="preserve">: O Azure cobra pelo volume de dados armazenados em serviços como o Azure </w:t>
      </w:r>
      <w:proofErr w:type="spellStart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Blob</w:t>
      </w:r>
      <w:proofErr w:type="spellEnd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 xml:space="preserve"> </w:t>
      </w:r>
      <w:proofErr w:type="spellStart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Storage</w:t>
      </w:r>
      <w:proofErr w:type="spellEnd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. Além disso, a transferência de dados (especialmente para fora da região ou para a internet) também pode gerar custos adicionais.</w:t>
      </w:r>
    </w:p>
    <w:p w:rsidR="007E7537" w:rsidRPr="007E7537" w:rsidRDefault="007E7537" w:rsidP="007E75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Licenciamento e Outros Custos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O Azure também cobra por licenças de software, como o Windows Server ou SQL Server, além de serviços extras como backup e recuperação de dados.</w:t>
      </w:r>
    </w:p>
    <w:p w:rsidR="007E7537" w:rsidRPr="007E7537" w:rsidRDefault="007E7537" w:rsidP="007E7537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  <w:t>3. Google Cloud Platform (GCP)</w:t>
      </w:r>
    </w:p>
    <w:p w:rsidR="007E7537" w:rsidRPr="007E7537" w:rsidRDefault="007E7537" w:rsidP="007E7537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A GCP segue uma estrutura de cobrança semelhante, com foco no uso real dos recursos. As cobranças incluem:</w:t>
      </w:r>
    </w:p>
    <w:p w:rsidR="007E7537" w:rsidRPr="007E7537" w:rsidRDefault="007E7537" w:rsidP="007E7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Cotas de Computação e Armazenamento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 xml:space="preserve">: O Google Cloud cobra por serviços como instâncias de máquinas virtuais (Compute </w:t>
      </w:r>
      <w:proofErr w:type="spellStart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Engine</w:t>
      </w:r>
      <w:proofErr w:type="spellEnd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 xml:space="preserve">) com base no tempo de uso (por minuto). O armazenamento, como no caso do Google Cloud </w:t>
      </w:r>
      <w:proofErr w:type="spellStart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Storage</w:t>
      </w:r>
      <w:proofErr w:type="spellEnd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, é cobrado pelo volume de dados armazenados.</w:t>
      </w:r>
    </w:p>
    <w:p w:rsidR="007E7537" w:rsidRPr="007E7537" w:rsidRDefault="007E7537" w:rsidP="007E7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Transferência de Dados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A transferência de dados para fora da plataforma do Google, especialmente para outras regiões ou para a internet, é cobrada com base no volume de dados transferidos.</w:t>
      </w:r>
    </w:p>
    <w:p w:rsidR="007E7537" w:rsidRPr="007E7537" w:rsidRDefault="007E7537" w:rsidP="007E75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Descontos por Uso Sustentado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O Google Cloud oferece descontos para usuários que mantêm instâncias de computação por períodos longos, o que pode reduzir o custo em relação ao uso sob demanda.</w:t>
      </w:r>
    </w:p>
    <w:p w:rsidR="007E7537" w:rsidRPr="007E7537" w:rsidRDefault="007E7537" w:rsidP="007E7537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  <w:t>Exemplos de Cotas e Preços (Modelo Comum):</w:t>
      </w:r>
    </w:p>
    <w:p w:rsidR="007E7537" w:rsidRPr="007E7537" w:rsidRDefault="007E7537" w:rsidP="007E7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Armazenamento de Dados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Normalmente, os serviços de armazenamento cobram uma taxa mensal por GB armazenado, com uma distinção entre os tipos de armazenamento (armazenamento quente, frio, etc.).</w:t>
      </w:r>
    </w:p>
    <w:p w:rsidR="007E7537" w:rsidRPr="007E7537" w:rsidRDefault="007E7537" w:rsidP="007E7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Exemplo: AWS S3 – até 50 TB: $0,023 por GB/mês (preço pode variar com o volume).</w:t>
      </w:r>
    </w:p>
    <w:p w:rsidR="007E7537" w:rsidRPr="007E7537" w:rsidRDefault="007E7537" w:rsidP="007E7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lastRenderedPageBreak/>
        <w:t>Máquinas Virtuais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Os preços podem variar dependendo do tipo e capacidade da máquina (CPU, memória, etc.), além de ser cobrado pelo tempo de uso.</w:t>
      </w:r>
    </w:p>
    <w:p w:rsidR="007E7537" w:rsidRPr="007E7537" w:rsidRDefault="007E7537" w:rsidP="007E7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Exemplo: AWS EC2 – instância t</w:t>
      </w:r>
      <w:proofErr w:type="gramStart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3.medium</w:t>
      </w:r>
      <w:proofErr w:type="gramEnd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, $0,0376 por hora (preço depende da região e do tipo de instância).</w:t>
      </w:r>
    </w:p>
    <w:p w:rsidR="007E7537" w:rsidRPr="007E7537" w:rsidRDefault="007E7537" w:rsidP="007E75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Transferência de Dados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Em muitos serviços de nuvem, a entrada de dados é gratuita, mas a saída de dados pode ser cobrada.</w:t>
      </w:r>
    </w:p>
    <w:p w:rsidR="007E7537" w:rsidRPr="007E7537" w:rsidRDefault="007E7537" w:rsidP="007E75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Exemplo: AWS – primeira GB de saída é gratuita, mas após isso é cobrado $0,09 por GB (para dados transferidos para a internet).</w:t>
      </w:r>
    </w:p>
    <w:p w:rsidR="007E7537" w:rsidRPr="007E7537" w:rsidRDefault="007E7537" w:rsidP="007E7537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  <w:t>Controle e Monitoramento de Consumo:</w:t>
      </w:r>
    </w:p>
    <w:p w:rsidR="007E7537" w:rsidRPr="007E7537" w:rsidRDefault="007E7537" w:rsidP="007E7537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Para ajudar na gestão das cotas e preços, os principais fornecedores oferecem ferramentas de monitoramento e controle de custos:</w:t>
      </w:r>
    </w:p>
    <w:p w:rsidR="007E7537" w:rsidRPr="007E7537" w:rsidRDefault="007E7537" w:rsidP="007E7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 xml:space="preserve">AWS </w:t>
      </w:r>
      <w:proofErr w:type="spellStart"/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Cost</w:t>
      </w:r>
      <w:proofErr w:type="spellEnd"/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 xml:space="preserve"> Explorer</w:t>
      </w: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Permite visualizar e analisar os custos e o uso de recursos ao longo do tempo.</w:t>
      </w:r>
    </w:p>
    <w:p w:rsidR="007E7537" w:rsidRPr="007E7537" w:rsidRDefault="007E7537" w:rsidP="007E7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 xml:space="preserve">Azure </w:t>
      </w:r>
      <w:proofErr w:type="spellStart"/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Cost</w:t>
      </w:r>
      <w:proofErr w:type="spellEnd"/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 xml:space="preserve"> Management + </w:t>
      </w:r>
      <w:proofErr w:type="spellStart"/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Billing</w:t>
      </w:r>
      <w:proofErr w:type="spellEnd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Ferramenta para visualizar, controlar e otimizar os gastos na nuvem.</w:t>
      </w:r>
    </w:p>
    <w:p w:rsidR="007E7537" w:rsidRPr="007E7537" w:rsidRDefault="007E7537" w:rsidP="007E75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 xml:space="preserve">Google Cloud </w:t>
      </w:r>
      <w:proofErr w:type="spellStart"/>
      <w:r w:rsidRPr="007E7537">
        <w:rPr>
          <w:rFonts w:ascii="Comic Sans MS" w:eastAsia="Times New Roman" w:hAnsi="Comic Sans MS" w:cs="Times New Roman"/>
          <w:b/>
          <w:bCs/>
          <w:color w:val="FFFF00"/>
          <w:sz w:val="24"/>
          <w:szCs w:val="24"/>
          <w:lang w:eastAsia="pt-BR"/>
        </w:rPr>
        <w:t>Billing</w:t>
      </w:r>
      <w:proofErr w:type="spellEnd"/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: Oferece painéis para análise de gastos e ajuda a definir orçamentos e alertas.</w:t>
      </w:r>
    </w:p>
    <w:p w:rsidR="007E7537" w:rsidRPr="007E7537" w:rsidRDefault="007E7537" w:rsidP="007E7537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</w:pPr>
      <w:r w:rsidRPr="007E7537">
        <w:rPr>
          <w:rFonts w:ascii="Comic Sans MS" w:eastAsia="Times New Roman" w:hAnsi="Comic Sans MS" w:cs="Times New Roman"/>
          <w:b/>
          <w:bCs/>
          <w:color w:val="FFFF00"/>
          <w:sz w:val="27"/>
          <w:szCs w:val="27"/>
          <w:lang w:eastAsia="pt-BR"/>
        </w:rPr>
        <w:t>Conclusão:</w:t>
      </w:r>
    </w:p>
    <w:p w:rsidR="007E7537" w:rsidRPr="007E7537" w:rsidRDefault="007E7537" w:rsidP="007E7537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</w:pPr>
      <w:r w:rsidRPr="007E7537">
        <w:rPr>
          <w:rFonts w:ascii="Comic Sans MS" w:eastAsia="Times New Roman" w:hAnsi="Comic Sans MS" w:cs="Times New Roman"/>
          <w:color w:val="FFFF00"/>
          <w:sz w:val="24"/>
          <w:szCs w:val="24"/>
          <w:lang w:eastAsia="pt-BR"/>
        </w:rPr>
        <w:t>A cobrança por serviços de nuvem pública é baseada principalmente no consumo dos recursos, com tarifas específicas para computação, armazenamento, rede e outros serviços. Cada fornecedor tem seu próprio sistema de precificação, mas o conceito básico é pagar pelo que você usa, com a possibilidade de descontos para compromissos de longo prazo ou uso constante. Para um gerenciamento eficaz, todas as grandes plataformas oferecem ferramentas de monitoramento de custos e uso para ajudar os usuários a controlar o gasto na nuvem.</w:t>
      </w:r>
    </w:p>
    <w:p w:rsidR="00A0394F" w:rsidRDefault="00A0394F"/>
    <w:sectPr w:rsidR="00A039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Futura Md BT">
    <w:panose1 w:val="020B0602020204020303"/>
    <w:charset w:val="00"/>
    <w:family w:val="swiss"/>
    <w:pitch w:val="variable"/>
    <w:sig w:usb0="800000AF" w:usb1="1000204A" w:usb2="00000000" w:usb3="00000000" w:csb0="0000001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FPOP1-W9">
    <w:panose1 w:val="02010609010101010101"/>
    <w:charset w:val="80"/>
    <w:family w:val="auto"/>
    <w:pitch w:val="fixed"/>
    <w:sig w:usb0="00000001" w:usb1="08070000" w:usb2="00000010" w:usb3="00000000" w:csb0="00020000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B2355"/>
    <w:multiLevelType w:val="multilevel"/>
    <w:tmpl w:val="5F28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24555"/>
    <w:multiLevelType w:val="multilevel"/>
    <w:tmpl w:val="FDC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01F08"/>
    <w:multiLevelType w:val="multilevel"/>
    <w:tmpl w:val="415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55807"/>
    <w:multiLevelType w:val="multilevel"/>
    <w:tmpl w:val="824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76C98"/>
    <w:multiLevelType w:val="multilevel"/>
    <w:tmpl w:val="AB9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537"/>
    <w:rsid w:val="007E7537"/>
    <w:rsid w:val="00A0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60c"/>
    </o:shapedefaults>
    <o:shapelayout v:ext="edit">
      <o:idmap v:ext="edit" data="1"/>
    </o:shapelayout>
  </w:shapeDefaults>
  <w:decimalSymbol w:val=","/>
  <w:listSeparator w:val=";"/>
  <w14:docId w14:val="57C39946"/>
  <w15:chartTrackingRefBased/>
  <w15:docId w15:val="{D6DDF4A1-3FCA-44D7-AA9E-4BA2E5B8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75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rsid w:val="007E75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E753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E7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E7537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7E7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61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788</Words>
  <Characters>4259</Characters>
  <Application>Microsoft Office Word</Application>
  <DocSecurity>0</DocSecurity>
  <Lines>35</Lines>
  <Paragraphs>10</Paragraphs>
  <ScaleCrop>false</ScaleCrop>
  <Company>CPS</Company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1</cp:revision>
  <dcterms:created xsi:type="dcterms:W3CDTF">2025-03-31T13:30:00Z</dcterms:created>
  <dcterms:modified xsi:type="dcterms:W3CDTF">2025-03-31T13:34:00Z</dcterms:modified>
</cp:coreProperties>
</file>