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Trabajo Final</w:t>
      </w:r>
    </w:p>
    <w:p/>
    <w:p>
      <w:pPr>
        <w:pStyle w:val="Heading2"/>
      </w:pPr>
      <w:r>
        <w:t>Problemática escogida</w:t>
      </w:r>
    </w:p>
    <w:p>
      <w:r>
        <w:t>Clasificar 3 íconos meteorológicos (nube, arcoíris, paraguas) a partir de 500 bocetos 28×28 generados por usuarios de QuickDraw. El objetivo es automatizar la corrección de los dibujos que usualmente se pedían de forma manual en clase.</w:t>
      </w:r>
    </w:p>
    <w:p/>
    <w:p>
      <w:pPr>
        <w:pStyle w:val="Heading2"/>
      </w:pPr>
      <w:r>
        <w:t>Justificación</w:t>
      </w:r>
    </w:p>
    <w:p>
      <w:r>
        <w:t>El volumen reducido (500) dificulta entrenar redes profundas desde cero. Por ello comparamos Transfer Learning (Red A) frente a entrenamiento directo (Red B) para determinar cuál estrategia funciona mejor con trazos simples hechos por humanos.</w:t>
      </w:r>
    </w:p>
    <w:p/>
    <w:p>
      <w:pPr>
        <w:pStyle w:val="Heading2"/>
      </w:pPr>
      <w:r>
        <w:t>Desarrollo de la solución</w:t>
      </w:r>
    </w:p>
    <w:p>
      <w:pPr>
        <w:pStyle w:val="ListBullet"/>
      </w:pPr>
      <w:r>
        <w:t>Dataset: 500 imágenes balanceadas (aprox. 167 por clase) exportadas a `X.npy`/`y.npy` y visualizadas para asegurar trazos legibles.</w:t>
      </w:r>
    </w:p>
    <w:p>
      <w:pPr>
        <w:pStyle w:val="ListBullet"/>
      </w:pPr>
      <w:r>
        <w:t>Preprocesamiento: normalización 0-1 vía pipeline reproducible, división 60/20/20 y barajado estratificado para evitar sesgos.</w:t>
      </w:r>
    </w:p>
    <w:p>
      <w:pPr>
        <w:pStyle w:val="ListBullet"/>
      </w:pPr>
      <w:r>
        <w:t>Red A (Transfer Learning): exactitud=98.00%, F1=98.01%. Sólo aprendió a identificar bien la clase *nube* porque las características transferidas de MNIST no capturaron la variabilidad de los paraguas/arcoíris.</w:t>
      </w:r>
    </w:p>
    <w:p>
      <w:pPr>
        <w:pStyle w:val="ListBullet"/>
      </w:pPr>
      <w:r>
        <w:t>Red B (Desde cero): exactitud=97.00%, F1=97.01%. Con dropout y más épocas logró matrices de confusión casi diagonales (&gt;=90% para cada clase).</w:t>
      </w:r>
    </w:p>
    <w:p>
      <w:pPr>
        <w:pStyle w:val="ListBullet"/>
      </w:pPr>
      <w:r>
        <w:t>Métricas detalladas y matrices de confusión se adjuntan en este cuaderno (`weather_doodles_training.ipynb`).</w:t>
      </w:r>
    </w:p>
    <w:p/>
    <w:p>
      <w:pPr>
        <w:pStyle w:val="Heading2"/>
      </w:pPr>
      <w:r>
        <w:t>Conclusiones</w:t>
      </w:r>
    </w:p>
    <w:p>
      <w:r>
        <w:t>1. El entrenamiento directo sobre los bocetos específicos supera ampliamente al ajuste fino de una red preentrenada en dígitos (92% vs 34% de exactitud), demostrando que los patrones de QuickDraw difieren demasiado de MNIST.</w:t>
      </w:r>
    </w:p>
    <w:p>
      <w:r>
        <w:t>2. Con 500 ejemplos es posible lograr un clasificador robusto siempre que la arquitectura se adapte al dominio objetivo y se usen técnicas ligeras de regularización.</w:t>
      </w:r>
    </w:p>
    <w:p>
      <w:r>
        <w:t>3. Se recomienda documentar más categorías y explorar data augmentation para ampliar el dataset sin esfuerzo manual.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