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553e52dc01b6d3ee4c43a590c0cd3991847e97"/>
    <w:p>
      <w:pPr>
        <w:pStyle w:val="Heading1"/>
      </w:pPr>
      <w:r>
        <w:t xml:space="preserve">CHAPTER 3 THEORETICAL FOUNDATIONS FOR THE EXTENSION</w:t>
      </w:r>
    </w:p>
    <w:bookmarkStart w:id="20" w:name="introduction"/>
    <w:p>
      <w:pPr>
        <w:pStyle w:val="Heading2"/>
      </w:pPr>
      <w:r>
        <w:t xml:space="preserve">3.1 Introduction</w:t>
      </w:r>
    </w:p>
    <w:p>
      <w:pPr>
        <w:pStyle w:val="FirstParagraph"/>
      </w:pPr>
      <w:r>
        <w:t xml:space="preserve">The preceding chapter established, through a structured chronological and comparative review of the literature, that the field of text-to-3D generation has progressively converged on a fundamental unsolved problem: the emergence of geometric hallucinations—structural artefacts rooted in the 2D-prior architecture of Score Distillation Sampling—that no existing approach has eliminated with spatial precision. Mathematical score-space methods remain geometry-blind, while the multi-modal detection paradigm of Hallo3D [6] introduced a semantic bottleneck that converts spatial 3D errors into imprecise text, systematically degrading correction accuracy.</w:t>
      </w:r>
    </w:p>
    <w:p>
      <w:pPr>
        <w:pStyle w:val="BodyText"/>
      </w:pPr>
      <w:r>
        <w:t xml:space="preserve">The research gap, as formally defined in Section 2.6, is the absence of a closed-loop framework that grounds hallucination detections directly into spatially aware 3D geometric constraints, bypassing the text-based feedback channel entirely.</w:t>
      </w:r>
    </w:p>
    <w:p>
      <w:pPr>
        <w:pStyle w:val="BodyText"/>
      </w:pPr>
      <w:r>
        <w:t xml:space="preserve">This chapter establishes the theoretical foundations upon which the Adversarial Geometric Distillation (AGD) extension is built. Section 3.2 surveys the existing theoretical landscape—the mathematical frameworks from spectral graph theory, algebraic topology, adversarial learning, and self-distillation that underpin modern 3D geometry processing. Section 3.3 revisits the research gap through a theoretical lens, reframing it not merely as a pipeline engineering problem but as a consequence of specific theoretical deficiencies in current approaches. Section 3.4 presents the rationale for the AGD extension, justifying why the combination of selected theoretical frameworks is a principled and necessary response to those deficiencies. Section 3.5 examines the theoretical foundations and intellectual inspirations for each component of the extension in depth. Section 3.6 characterises the formal properties that the extension inherits from its theoretical base. Section 3.7 demonstrates explicitly how each theoretical element of the AGD framework closes a specific aspect of the identified research gap. Section 3.8 summarises the chapter and introduces the system design presented in Chapter 4.</w:t>
      </w:r>
    </w:p>
    <w:p>
      <w:pPr>
        <w:pStyle w:val="BodyText"/>
      </w:pPr>
      <w:r>
        <w:rPr>
          <w:bCs/>
          <w:b/>
        </w:rPr>
        <w:t xml:space="preserve">[IMAGE PLACEHOLDER FOR FIGURE 3.1]</w:t>
      </w:r>
      <w:r>
        <w:t xml:space="preserve"> </w:t>
      </w:r>
      <w:r>
        <w:rPr>
          <w:iCs/>
          <w:i/>
        </w:rPr>
        <w:t xml:space="preserve">Suggested Visual: A high-level block diagram comparing the traditional open-loop Score Distillation Sampling (SDS) pipeline alongside your proposed closed-loop Adversarial Geometric Distillation (AGD) framework. This will give the reader an immediate visual anchor for the theoretical shift you are describing in the introduction.</w:t>
      </w:r>
    </w:p>
    <w:bookmarkEnd w:id="20"/>
    <w:bookmarkStart w:id="21" w:name="overview-of-existing-theory"/>
    <w:p>
      <w:pPr>
        <w:pStyle w:val="Heading2"/>
      </w:pPr>
      <w:r>
        <w:t xml:space="preserve">3.2 Overview of Existing Theory</w:t>
      </w:r>
    </w:p>
    <w:p>
      <w:pPr>
        <w:pStyle w:val="FirstParagraph"/>
      </w:pPr>
      <w:r>
        <w:t xml:space="preserve">The theoretical landscape relevant to geometric hallucination mitigation spans four principal bodies of knowledge: score-based generative modelling and its 3D extensions; spectral graph theory and algebraic topology as applied to mesh analysis; adversarial learning architectures; and self-distillation as a framework for iterative structural refinement.</w:t>
      </w:r>
    </w:p>
    <w:p>
      <w:pPr>
        <w:pStyle w:val="BodyText"/>
      </w:pPr>
      <w:r>
        <w:t xml:space="preserve">Score Distillation Sampling (SDS), introduced by DreamFusion [2], frames text-to-3D generation as a variational optimisation problem in which the gradient of a diffusion model’s score function—the model’s estimate of the direction toward higher-probability images—is used to update the parameters of a differentiable 3D scene representation. The SDS gradient takes the form:</w:t>
      </w:r>
    </w:p>
    <w:p>
      <w:pPr>
        <w:pStyle w:val="BodyText"/>
      </w:pPr>
      <m:oMathPara>
        <m:oMathParaPr>
          <m:jc m:val="center"/>
        </m:oMathParaPr>
        <m:oMath>
          <m:sSub>
            <m:e>
              <m:r>
                <m:rPr>
                  <m:sty m:val="p"/>
                </m:rPr>
                <m:t>∇</m:t>
              </m:r>
            </m:e>
            <m:sub>
              <m:r>
                <m:t>θ</m:t>
              </m:r>
            </m:sub>
          </m:sSub>
          <m:sSub>
            <m:e>
              <m:r>
                <m:rPr>
                  <m:sty m:val="p"/>
                  <m:scr m:val="script"/>
                </m:rPr>
                <m:t>L</m:t>
              </m:r>
            </m:e>
            <m:sub>
              <m:r>
                <m:rPr>
                  <m:nor/>
                  <m:sty m:val="p"/>
                </m:rPr>
                <m:t>SDS</m:t>
              </m:r>
            </m:sub>
          </m:sSub>
          <m:r>
            <m:rPr>
              <m:sty m:val="p"/>
            </m:rPr>
            <m:t>=</m:t>
          </m:r>
          <m:sSub>
            <m:e>
              <m:r>
                <m:rPr>
                  <m:sty m:val="p"/>
                  <m:scr m:val="double-struck"/>
                </m:rPr>
                <m:t>E</m:t>
              </m:r>
            </m:e>
            <m:sub>
              <m:r>
                <m:t>t</m:t>
              </m:r>
              <m:r>
                <m:rPr>
                  <m:sty m:val="p"/>
                </m:rPr>
                <m:t>,</m:t>
              </m:r>
              <m:r>
                <m:t>ϵ</m:t>
              </m:r>
            </m:sub>
          </m:sSub>
          <m:d>
            <m:dPr>
              <m:begChr m:val="["/>
              <m:endChr m:val="]"/>
              <m:grow/>
            </m:dPr>
            <m:e>
              <m:r>
                <m:t>w</m:t>
              </m:r>
              <m:r>
                <m:rPr>
                  <m:sty m:val="p"/>
                </m:rPr>
                <m:t>(</m:t>
              </m:r>
              <m:r>
                <m:t>t</m:t>
              </m:r>
              <m:r>
                <m:rPr>
                  <m:sty m:val="p"/>
                </m:rPr>
                <m:t>)</m:t>
              </m:r>
              <m:d>
                <m:dPr>
                  <m:begChr m:val="("/>
                  <m:endChr m:val=")"/>
                  <m:grow/>
                </m:dPr>
                <m:e>
                  <m:sSub>
                    <m:e>
                      <m:acc>
                        <m:accPr>
                          <m:chr m:val="̂"/>
                        </m:accPr>
                        <m:e>
                          <m:r>
                            <m:t>ϵ</m:t>
                          </m:r>
                        </m:e>
                      </m:acc>
                    </m:e>
                    <m:sub>
                      <m:r>
                        <m:t>ϕ</m:t>
                      </m:r>
                    </m:sub>
                  </m:sSub>
                  <m:r>
                    <m:rPr>
                      <m:sty m:val="p"/>
                    </m:rPr>
                    <m:t>(</m:t>
                  </m:r>
                  <m:sSub>
                    <m:e>
                      <m:r>
                        <m:t>x</m:t>
                      </m:r>
                    </m:e>
                    <m:sub>
                      <m:r>
                        <m:t>t</m:t>
                      </m:r>
                    </m:sub>
                  </m:sSub>
                  <m:r>
                    <m:rPr>
                      <m:sty m:val="p"/>
                    </m:rPr>
                    <m:t>;</m:t>
                  </m:r>
                  <m:r>
                    <m:t>y</m:t>
                  </m:r>
                  <m:r>
                    <m:rPr>
                      <m:sty m:val="p"/>
                    </m:rPr>
                    <m:t>,</m:t>
                  </m:r>
                  <m:r>
                    <m:t>t</m:t>
                  </m:r>
                  <m:r>
                    <m:rPr>
                      <m:sty m:val="p"/>
                    </m:rPr>
                    <m:t>)</m:t>
                  </m:r>
                  <m:r>
                    <m:rPr>
                      <m:sty m:val="p"/>
                    </m:rPr>
                    <m:t>−</m:t>
                  </m:r>
                  <m:r>
                    <m:t>ϵ</m:t>
                  </m:r>
                </m:e>
              </m:d>
              <m:f>
                <m:fPr>
                  <m:type m:val="bar"/>
                </m:fPr>
                <m:num>
                  <m:r>
                    <m:rPr>
                      <m:sty m:val="p"/>
                    </m:rPr>
                    <m:t>∂</m:t>
                  </m:r>
                  <m:r>
                    <m:t>x</m:t>
                  </m:r>
                </m:num>
                <m:den>
                  <m:r>
                    <m:rPr>
                      <m:sty m:val="p"/>
                    </m:rPr>
                    <m:t>∂</m:t>
                  </m:r>
                  <m:r>
                    <m:t>θ</m:t>
                  </m:r>
                </m:den>
              </m:f>
            </m:e>
          </m:d>
        </m:oMath>
      </m:oMathPara>
    </w:p>
    <w:p>
      <w:pPr>
        <w:pStyle w:val="FirstParagraph"/>
      </w:pPr>
      <w:r>
        <w:t xml:space="preserve">where</w:t>
      </w:r>
      <w:r>
        <w:t xml:space="preserve"> </w:t>
      </w:r>
      <m:oMath>
        <m:sSub>
          <m:e>
            <m:acc>
              <m:accPr>
                <m:chr m:val="̂"/>
              </m:accPr>
              <m:e>
                <m:r>
                  <m:t>ϵ</m:t>
                </m:r>
              </m:e>
            </m:acc>
          </m:e>
          <m:sub>
            <m:r>
              <m:t>ϕ</m:t>
            </m:r>
          </m:sub>
        </m:sSub>
      </m:oMath>
      <w:r>
        <w:t xml:space="preserve"> </w:t>
      </w:r>
      <w:r>
        <w:t xml:space="preserve">is the predicted noise from a pre-trained 2D diffusion model conditioned on text prompt</w:t>
      </w:r>
      <w:r>
        <w:t xml:space="preserve"> </w:t>
      </w:r>
      <m:oMath>
        <m:r>
          <m:t>y</m:t>
        </m:r>
      </m:oMath>
      <w:r>
        <w:t xml:space="preserve">, and</w:t>
      </w:r>
      <w:r>
        <w:t xml:space="preserve"> </w:t>
      </w:r>
      <m:oMath>
        <m:sSub>
          <m:e>
            <m:r>
              <m:t>x</m:t>
            </m:r>
          </m:e>
          <m:sub>
            <m:r>
              <m:t>t</m:t>
            </m:r>
          </m:sub>
        </m:sSub>
      </m:oMath>
      <w:r>
        <w:t xml:space="preserve"> </w:t>
      </w:r>
      <w:r>
        <w:t xml:space="preserve">is a noisy rendering of the current 3D representation. This formulation is theoretically elegant but geometrically unconstrained: the gradient signal originates entirely from a model trained on 2D image distributions, and no term in the objective function encodes 3D topological or structural constraints. ProlificDreamer [3] extended SDS to Variational Score Distillation (VSD), which models the 3D scene as a distribution rather than a point estimate, and introduced a LoRA-based particle that better captures multi-modality in the 3D output space. However, VSD inherits the same fundamental 2D-prior limitation, as neither the score function nor the variational objective operates on 3D geometric representations.</w:t>
      </w:r>
    </w:p>
    <w:p>
      <w:pPr>
        <w:pStyle w:val="BodyText"/>
      </w:pPr>
      <w:r>
        <w:t xml:space="preserve">Spectral graph theory provides the theoretical foundation for quantifying mesh structure through the algebraic properties of the combinatorial graph Laplacian. For a mesh represented as a graph</w:t>
      </w:r>
      <w:r>
        <w:t xml:space="preserve"> </w:t>
      </w:r>
      <m:oMath>
        <m:r>
          <m:t>G</m:t>
        </m:r>
        <m:r>
          <m:rPr>
            <m:sty m:val="p"/>
          </m:rPr>
          <m:t>=</m:t>
        </m:r>
        <m:r>
          <m:rPr>
            <m:sty m:val="p"/>
          </m:rPr>
          <m:t>(</m:t>
        </m:r>
        <m:r>
          <m:t>V</m:t>
        </m:r>
        <m:r>
          <m:rPr>
            <m:sty m:val="p"/>
          </m:rPr>
          <m:t>,</m:t>
        </m:r>
        <m:r>
          <m:t>E</m:t>
        </m:r>
        <m:r>
          <m:rPr>
            <m:sty m:val="p"/>
          </m:rPr>
          <m:t>)</m:t>
        </m:r>
      </m:oMath>
      <w:r>
        <w:t xml:space="preserve"> </w:t>
      </w:r>
      <w:r>
        <w:t xml:space="preserve">with</w:t>
      </w:r>
      <w:r>
        <w:t xml:space="preserve"> </w:t>
      </w:r>
      <m:oMath>
        <m:r>
          <m:t>n</m:t>
        </m:r>
      </m:oMath>
      <w:r>
        <w:t xml:space="preserve"> </w:t>
      </w:r>
      <w:r>
        <w:t xml:space="preserve">vertices, the graph Laplacian is</w:t>
      </w:r>
      <w:r>
        <w:t xml:space="preserve"> </w:t>
      </w:r>
      <m:oMath>
        <m:r>
          <m:t>L</m:t>
        </m:r>
        <m:r>
          <m:rPr>
            <m:sty m:val="p"/>
          </m:rPr>
          <m:t>=</m:t>
        </m:r>
        <m:r>
          <m:t>D</m:t>
        </m:r>
        <m:r>
          <m:rPr>
            <m:sty m:val="p"/>
          </m:rPr>
          <m:t>−</m:t>
        </m:r>
        <m:r>
          <m:t>A</m:t>
        </m:r>
      </m:oMath>
      <w:r>
        <w:t xml:space="preserve">, where</w:t>
      </w:r>
      <w:r>
        <w:t xml:space="preserve"> </w:t>
      </w:r>
      <m:oMath>
        <m:r>
          <m:t>D</m:t>
        </m:r>
      </m:oMath>
      <w:r>
        <w:t xml:space="preserve"> </w:t>
      </w:r>
      <w:r>
        <w:t xml:space="preserve">is the diagonal degree matrix (</w:t>
      </w:r>
      <m:oMath>
        <m:sSub>
          <m:e>
            <m:r>
              <m:t>D</m:t>
            </m:r>
          </m:e>
          <m:sub>
            <m:r>
              <m:t>i</m:t>
            </m:r>
            <m:r>
              <m:t>i</m:t>
            </m:r>
          </m:sub>
        </m:sSub>
        <m:r>
          <m:rPr>
            <m:sty m:val="p"/>
          </m:rPr>
          <m:t>=</m:t>
        </m:r>
        <m:r>
          <m:rPr>
            <m:nor/>
            <m:sty m:val="p"/>
          </m:rPr>
          <m:t>deg</m:t>
        </m:r>
        <m:r>
          <m:rPr>
            <m:sty m:val="p"/>
          </m:rPr>
          <m:t>(</m:t>
        </m:r>
        <m:sSub>
          <m:e>
            <m:r>
              <m:t>v</m:t>
            </m:r>
          </m:e>
          <m:sub>
            <m:r>
              <m:t>i</m:t>
            </m:r>
          </m:sub>
        </m:sSub>
        <m:r>
          <m:rPr>
            <m:sty m:val="p"/>
          </m:rPr>
          <m:t>)</m:t>
        </m:r>
      </m:oMath>
      <w:r>
        <w:t xml:space="preserve">) and</w:t>
      </w:r>
      <w:r>
        <w:t xml:space="preserve"> </w:t>
      </w:r>
      <m:oMath>
        <m:r>
          <m:t>A</m:t>
        </m:r>
      </m:oMath>
      <w:r>
        <w:t xml:space="preserve"> </w:t>
      </w:r>
      <w:r>
        <w:t xml:space="preserve">is the binary adjacency matrix (</w:t>
      </w:r>
      <m:oMath>
        <m:sSub>
          <m:e>
            <m:r>
              <m:t>A</m:t>
            </m:r>
          </m:e>
          <m:sub>
            <m:r>
              <m:t>i</m:t>
            </m:r>
            <m:r>
              <m:t>j</m:t>
            </m:r>
          </m:sub>
        </m:sSub>
        <m:r>
          <m:rPr>
            <m:sty m:val="p"/>
          </m:rPr>
          <m:t>=</m:t>
        </m:r>
        <m:r>
          <m:t>1</m:t>
        </m:r>
        <m:r>
          <m:rPr>
            <m:nor/>
            <m:sty m:val="p"/>
          </m:rPr>
          <m:t> if </m:t>
        </m:r>
        <m:r>
          <m:rPr>
            <m:sty m:val="p"/>
          </m:rPr>
          <m:t>{</m:t>
        </m:r>
        <m:sSub>
          <m:e>
            <m:r>
              <m:t>v</m:t>
            </m:r>
          </m:e>
          <m:sub>
            <m:r>
              <m:t>i</m:t>
            </m:r>
          </m:sub>
        </m:sSub>
        <m:r>
          <m:rPr>
            <m:sty m:val="p"/>
          </m:rPr>
          <m:t>,</m:t>
        </m:r>
        <m:sSub>
          <m:e>
            <m:r>
              <m:t>v</m:t>
            </m:r>
          </m:e>
          <m:sub>
            <m:r>
              <m:t>j</m:t>
            </m:r>
          </m:sub>
        </m:sSub>
        <m:r>
          <m:rPr>
            <m:sty m:val="p"/>
          </m:rPr>
          <m:t>}</m:t>
        </m:r>
        <m:r>
          <m:rPr>
            <m:sty m:val="p"/>
          </m:rPr>
          <m:t>∈</m:t>
        </m:r>
        <m:r>
          <m:t>E</m:t>
        </m:r>
      </m:oMath>
      <w:r>
        <w:t xml:space="preserve">). The eigenvalue spectrum of</w:t>
      </w:r>
      <w:r>
        <w:t xml:space="preserve"> </w:t>
      </w:r>
      <m:oMath>
        <m:r>
          <m:t>L</m:t>
        </m:r>
      </m:oMath>
      <w:r>
        <w:t xml:space="preserve"> </w:t>
      </w:r>
      <w:r>
        <w:t xml:space="preserve">encodes the intrinsic connectivity and geometric regularity of the mesh in a form that is invariant to isometric deformations.</w:t>
      </w:r>
    </w:p>
    <w:p>
      <w:pPr>
        <w:pStyle w:val="BodyText"/>
      </w:pPr>
      <w:r>
        <w:t xml:space="preserve">The smallest eigenvalue</w:t>
      </w:r>
      <w:r>
        <w:t xml:space="preserve"> </w:t>
      </w:r>
      <m:oMath>
        <m:sSub>
          <m:e>
            <m:r>
              <m:t>λ</m:t>
            </m:r>
          </m:e>
          <m:sub>
            <m:r>
              <m:t>1</m:t>
            </m:r>
          </m:sub>
        </m:sSub>
        <m:r>
          <m:rPr>
            <m:sty m:val="p"/>
          </m:rPr>
          <m:t>=</m:t>
        </m:r>
        <m:r>
          <m:t>0</m:t>
        </m:r>
      </m:oMath>
      <w:r>
        <w:t xml:space="preserve"> </w:t>
      </w:r>
      <w:r>
        <w:t xml:space="preserve">always, corresponding to the constant eigenvector, reflects the connected nature of an undirected graph. The second-smallest eigenvalue</w:t>
      </w:r>
      <w:r>
        <w:t xml:space="preserve"> </w:t>
      </w:r>
      <m:oMath>
        <m:sSub>
          <m:e>
            <m:r>
              <m:t>λ</m:t>
            </m:r>
          </m:e>
          <m:sub>
            <m:r>
              <m:t>2</m:t>
            </m:r>
          </m:sub>
        </m:sSub>
      </m:oMath>
      <w:r>
        <w:t xml:space="preserve">—the Fiedler value, also known as the algebraic connectivity—is strictly positive if and only if the graph is connected, and its magnitude measures the robustness of that connectivity: a small Fiedler value indicates that the graph has a narrow bottleneck or bridge between two densely connected subgraphs, while a value of zero indicates full disconnection into separate components. The variance of the eigenvalue spectrum:</w:t>
      </w:r>
    </w:p>
    <w:p>
      <w:pPr>
        <w:pStyle w:val="BodyText"/>
      </w:pPr>
      <m:oMathPara>
        <m:oMathParaPr>
          <m:jc m:val="center"/>
        </m:oMathParaPr>
        <m:oMath>
          <m:r>
            <m:rPr>
              <m:nor/>
              <m:sty m:val="p"/>
            </m:rPr>
            <m:t>Var</m:t>
          </m:r>
          <m:r>
            <m:rPr>
              <m:sty m:val="p"/>
            </m:rPr>
            <m:t>(</m:t>
          </m:r>
          <m:r>
            <m:t>λ</m:t>
          </m:r>
          <m:r>
            <m:rPr>
              <m:sty m:val="p"/>
            </m:rPr>
            <m:t>)</m:t>
          </m:r>
          <m:r>
            <m:rPr>
              <m:sty m:val="p"/>
            </m:rPr>
            <m:t>=</m:t>
          </m:r>
          <m:f>
            <m:fPr>
              <m:type m:val="bar"/>
            </m:fPr>
            <m:num>
              <m:r>
                <m:rPr>
                  <m:nor/>
                  <m:sty m:val="p"/>
                </m:rPr>
                <m:t>trace</m:t>
              </m:r>
              <m:r>
                <m:rPr>
                  <m:sty m:val="p"/>
                </m:rPr>
                <m:t>(</m:t>
              </m:r>
              <m:sSup>
                <m:e>
                  <m:r>
                    <m:t>L</m:t>
                  </m:r>
                </m:e>
                <m:sup>
                  <m:r>
                    <m:t>2</m:t>
                  </m:r>
                </m:sup>
              </m:sSup>
              <m:r>
                <m:rPr>
                  <m:sty m:val="p"/>
                </m:rPr>
                <m:t>)</m:t>
              </m:r>
            </m:num>
            <m:den>
              <m:r>
                <m:t>n</m:t>
              </m:r>
            </m:den>
          </m:f>
          <m:r>
            <m:rPr>
              <m:sty m:val="p"/>
            </m:rPr>
            <m:t>−</m:t>
          </m:r>
          <m:sSup>
            <m:e>
              <m:d>
                <m:dPr>
                  <m:begChr m:val="("/>
                  <m:endChr m:val=")"/>
                  <m:grow/>
                </m:dPr>
                <m:e>
                  <m:f>
                    <m:fPr>
                      <m:type m:val="bar"/>
                    </m:fPr>
                    <m:num>
                      <m:r>
                        <m:rPr>
                          <m:nor/>
                          <m:sty m:val="p"/>
                        </m:rPr>
                        <m:t>trace</m:t>
                      </m:r>
                      <m:r>
                        <m:rPr>
                          <m:sty m:val="p"/>
                        </m:rPr>
                        <m:t>(</m:t>
                      </m:r>
                      <m:r>
                        <m:t>L</m:t>
                      </m:r>
                      <m:r>
                        <m:rPr>
                          <m:sty m:val="p"/>
                        </m:rPr>
                        <m:t>)</m:t>
                      </m:r>
                    </m:num>
                    <m:den>
                      <m:r>
                        <m:t>n</m:t>
                      </m:r>
                    </m:den>
                  </m:f>
                </m:e>
              </m:d>
            </m:e>
            <m:sup>
              <m:r>
                <m:t>2</m:t>
              </m:r>
            </m:sup>
          </m:sSup>
        </m:oMath>
      </m:oMathPara>
    </w:p>
    <w:p>
      <w:pPr>
        <w:pStyle w:val="FirstParagraph"/>
      </w:pPr>
      <w:r>
        <w:t xml:space="preserve">encodes the degree of irregularity in vertex connectivity: a uniform mesh (such as a triangulated sphere) yields near-zero variance, while a mesh with pathological protrusions, collapsed faces, or extreme degree variation produces high variance. These spectral properties are directly computable from the mesh’s adjacency structure without requiring full eigendecomposition, as the trace identities</w:t>
      </w:r>
      <w:r>
        <w:t xml:space="preserve"> </w:t>
      </w:r>
      <m:oMath>
        <m:r>
          <m:rPr>
            <m:nor/>
            <m:sty m:val="p"/>
          </m:rPr>
          <m:t>trace</m:t>
        </m:r>
        <m:r>
          <m:rPr>
            <m:sty m:val="p"/>
          </m:rPr>
          <m:t>(</m:t>
        </m:r>
        <m:r>
          <m:t>L</m:t>
        </m:r>
        <m:r>
          <m:rPr>
            <m:sty m:val="p"/>
          </m:rPr>
          <m:t>)</m:t>
        </m:r>
        <m:r>
          <m:rPr>
            <m:sty m:val="p"/>
          </m:rPr>
          <m:t>=</m:t>
        </m:r>
        <m:r>
          <m:rPr>
            <m:sty m:val="p"/>
          </m:rPr>
          <m:t>∑</m:t>
        </m:r>
        <m:r>
          <m:rPr>
            <m:nor/>
            <m:sty m:val="p"/>
          </m:rPr>
          <m:t>deg</m:t>
        </m:r>
        <m:r>
          <m:rPr>
            <m:sty m:val="p"/>
          </m:rPr>
          <m:t>(</m:t>
        </m:r>
        <m:sSub>
          <m:e>
            <m:r>
              <m:t>v</m:t>
            </m:r>
          </m:e>
          <m:sub>
            <m:r>
              <m:t>i</m:t>
            </m:r>
          </m:sub>
        </m:sSub>
        <m:r>
          <m:rPr>
            <m:sty m:val="p"/>
          </m:rPr>
          <m:t>)</m:t>
        </m:r>
      </m:oMath>
      <w:r>
        <w:t xml:space="preserve"> </w:t>
      </w:r>
      <w:r>
        <w:t xml:space="preserve">and</w:t>
      </w:r>
      <w:r>
        <w:t xml:space="preserve"> </w:t>
      </w:r>
      <m:oMath>
        <m:r>
          <m:rPr>
            <m:nor/>
            <m:sty m:val="p"/>
          </m:rPr>
          <m:t>trace</m:t>
        </m:r>
        <m:r>
          <m:rPr>
            <m:sty m:val="p"/>
          </m:rPr>
          <m:t>(</m:t>
        </m:r>
        <m:sSup>
          <m:e>
            <m:r>
              <m:t>L</m:t>
            </m:r>
          </m:e>
          <m:sup>
            <m:r>
              <m:t>2</m:t>
            </m:r>
          </m:sup>
        </m:sSup>
        <m:r>
          <m:rPr>
            <m:sty m:val="p"/>
          </m:rPr>
          <m:t>)</m:t>
        </m:r>
        <m:r>
          <m:rPr>
            <m:sty m:val="p"/>
          </m:rPr>
          <m:t>=</m:t>
        </m:r>
        <m:r>
          <m:rPr>
            <m:sty m:val="p"/>
          </m:rPr>
          <m:t>∑</m:t>
        </m:r>
        <m:d>
          <m:dPr>
            <m:begChr m:val="("/>
            <m:endChr m:val=")"/>
            <m:grow/>
          </m:dPr>
          <m:e>
            <m:r>
              <m:rPr>
                <m:nor/>
                <m:sty m:val="p"/>
              </m:rPr>
              <m:t>deg</m:t>
            </m:r>
            <m:r>
              <m:rPr>
                <m:sty m:val="p"/>
              </m:rPr>
              <m:t>(</m:t>
            </m:r>
            <m:sSub>
              <m:e>
                <m:r>
                  <m:t>v</m:t>
                </m:r>
              </m:e>
              <m:sub>
                <m:r>
                  <m:t>i</m:t>
                </m:r>
              </m:sub>
            </m:sSub>
            <m:sSup>
              <m:e>
                <m:r>
                  <m:rPr>
                    <m:sty m:val="p"/>
                  </m:rPr>
                  <m:t>)</m:t>
                </m:r>
              </m:e>
              <m:sup>
                <m:r>
                  <m:t>2</m:t>
                </m:r>
              </m:sup>
            </m:sSup>
            <m:r>
              <m:rPr>
                <m:sty m:val="p"/>
              </m:rPr>
              <m:t>+</m:t>
            </m:r>
            <m:nary>
              <m:naryPr>
                <m:chr m:val="∑"/>
                <m:limLoc m:val="undOvr"/>
                <m:subHide m:val="0"/>
                <m:supHide m:val="1"/>
              </m:naryPr>
              <m:sub>
                <m:r>
                  <m:t>j</m:t>
                </m:r>
                <m:r>
                  <m:rPr>
                    <m:sty m:val="p"/>
                  </m:rPr>
                  <m:t>∈</m:t>
                </m:r>
                <m:r>
                  <m:t>N</m:t>
                </m:r>
                <m:r>
                  <m:rPr>
                    <m:sty m:val="p"/>
                  </m:rPr>
                  <m:t>(</m:t>
                </m:r>
                <m:r>
                  <m:t>i</m:t>
                </m:r>
                <m:r>
                  <m:rPr>
                    <m:sty m:val="p"/>
                  </m:rPr>
                  <m:t>)</m:t>
                </m:r>
              </m:sub>
              <m:sup>
                <m:r>
                  <m:t>​</m:t>
                </m:r>
              </m:sup>
              <m:e>
                <m:r>
                  <m:t>1</m:t>
                </m:r>
              </m:e>
            </m:nary>
          </m:e>
        </m:d>
      </m:oMath>
      <w:r>
        <w:t xml:space="preserve"> </w:t>
      </w:r>
      <w:r>
        <w:t xml:space="preserve">can be evaluated in</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w:t>
      </w:r>
      <w:r>
        <w:t xml:space="preserve">time using sparse operations.</w:t>
      </w:r>
    </w:p>
    <w:p>
      <w:pPr>
        <w:pStyle w:val="BodyText"/>
      </w:pPr>
      <w:r>
        <w:t xml:space="preserve">Algebraic topology extends the spectral analysis with global structural invariants that are independent of the specific embedding of the mesh in space. The Euler characteristic</w:t>
      </w:r>
      <w:r>
        <w:t xml:space="preserve"> </w:t>
      </w:r>
      <m:oMath>
        <m:r>
          <m:t>χ</m:t>
        </m:r>
        <m:r>
          <m:rPr>
            <m:sty m:val="p"/>
          </m:rPr>
          <m:t>=</m:t>
        </m:r>
        <m:r>
          <m:t>V</m:t>
        </m:r>
        <m:r>
          <m:rPr>
            <m:sty m:val="p"/>
          </m:rPr>
          <m:t>−</m:t>
        </m:r>
        <m:r>
          <m:t>E</m:t>
        </m:r>
        <m:r>
          <m:rPr>
            <m:sty m:val="p"/>
          </m:rPr>
          <m:t>+</m:t>
        </m:r>
        <m:r>
          <m:t>F</m:t>
        </m:r>
      </m:oMath>
      <w:r>
        <w:t xml:space="preserve"> </w:t>
      </w:r>
      <w:r>
        <w:t xml:space="preserve">(where</w:t>
      </w:r>
      <w:r>
        <w:t xml:space="preserve"> </w:t>
      </w:r>
      <m:oMath>
        <m:r>
          <m:t>V</m:t>
        </m:r>
        <m:r>
          <m:rPr>
            <m:sty m:val="p"/>
          </m:rPr>
          <m:t>,</m:t>
        </m:r>
        <m:r>
          <m:t>E</m:t>
        </m:r>
        <m:r>
          <m:rPr>
            <m:sty m:val="p"/>
          </m:rPr>
          <m:t>,</m:t>
        </m:r>
        <m:r>
          <m:t>F</m:t>
        </m:r>
      </m:oMath>
      <w:r>
        <w:t xml:space="preserve"> </w:t>
      </w:r>
      <w:r>
        <w:t xml:space="preserve">are the counts of vertices, edges, and faces respectively) is a topological invariant that for a closed orientable surface satisfies</w:t>
      </w:r>
      <w:r>
        <w:t xml:space="preserve"> </w:t>
      </w:r>
      <m:oMath>
        <m:r>
          <m:t>χ</m:t>
        </m:r>
        <m:r>
          <m:rPr>
            <m:sty m:val="p"/>
          </m:rPr>
          <m:t>=</m:t>
        </m:r>
        <m:r>
          <m:t>2</m:t>
        </m:r>
        <m:r>
          <m:rPr>
            <m:sty m:val="p"/>
          </m:rPr>
          <m:t>−</m:t>
        </m:r>
        <m:r>
          <m:t>2</m:t>
        </m:r>
        <m:r>
          <m:t>g</m:t>
        </m:r>
      </m:oMath>
      <w:r>
        <w:t xml:space="preserve">, where</w:t>
      </w:r>
      <w:r>
        <w:t xml:space="preserve"> </w:t>
      </w:r>
      <m:oMath>
        <m:r>
          <m:t>g</m:t>
        </m:r>
      </m:oMath>
      <w:r>
        <w:t xml:space="preserve"> </w:t>
      </w:r>
      <w:r>
        <w:t xml:space="preserve">is the genus—the number of topological handles or holes in the surface. A genus-0 surface (homeomorphic to a sphere) has</w:t>
      </w:r>
      <w:r>
        <w:t xml:space="preserve"> </w:t>
      </w:r>
      <m:oMath>
        <m:r>
          <m:t>χ</m:t>
        </m:r>
        <m:r>
          <m:rPr>
            <m:sty m:val="p"/>
          </m:rPr>
          <m:t>=</m:t>
        </m:r>
        <m:r>
          <m:t>2</m:t>
        </m:r>
      </m:oMath>
      <w:r>
        <w:t xml:space="preserve">; a torus has</w:t>
      </w:r>
      <w:r>
        <w:t xml:space="preserve"> </w:t>
      </w:r>
      <m:oMath>
        <m:r>
          <m:t>χ</m:t>
        </m:r>
        <m:r>
          <m:rPr>
            <m:sty m:val="p"/>
          </m:rPr>
          <m:t>=</m:t>
        </m:r>
        <m:r>
          <m:t>0</m:t>
        </m:r>
        <m:r>
          <m:rPr>
            <m:sty m:val="p"/>
          </m:rPr>
          <m:t>,</m:t>
        </m:r>
        <m:r>
          <m:t>g</m:t>
        </m:r>
        <m:r>
          <m:rPr>
            <m:sty m:val="p"/>
          </m:rPr>
          <m:t>=</m:t>
        </m:r>
        <m:r>
          <m:t>1</m:t>
        </m:r>
      </m:oMath>
      <w:r>
        <w:t xml:space="preserve">. Betti numbers</w:t>
      </w:r>
      <w:r>
        <w:t xml:space="preserve"> </w:t>
      </w:r>
      <m:oMath>
        <m:sSub>
          <m:e>
            <m:r>
              <m:t>β</m:t>
            </m:r>
          </m:e>
          <m:sub>
            <m:r>
              <m:t>0</m:t>
            </m:r>
          </m:sub>
        </m:sSub>
        <m:r>
          <m:rPr>
            <m:sty m:val="p"/>
          </m:rPr>
          <m:t>,</m:t>
        </m:r>
        <m:sSub>
          <m:e>
            <m:r>
              <m:t>β</m:t>
            </m:r>
          </m:e>
          <m:sub>
            <m:r>
              <m:t>1</m:t>
            </m:r>
          </m:sub>
        </m:sSub>
        <m:r>
          <m:rPr>
            <m:sty m:val="p"/>
          </m:rPr>
          <m:t>,</m:t>
        </m:r>
        <m:sSub>
          <m:e>
            <m:r>
              <m:t>β</m:t>
            </m:r>
          </m:e>
          <m:sub>
            <m:r>
              <m:t>2</m:t>
            </m:r>
          </m:sub>
        </m:sSub>
      </m:oMath>
      <w:r>
        <w:t xml:space="preserve"> </w:t>
      </w:r>
      <w:r>
        <w:t xml:space="preserve">decompose the topological structure further.</w:t>
      </w:r>
    </w:p>
    <w:p>
      <w:pPr>
        <w:pStyle w:val="BodyText"/>
      </w:pPr>
      <w:r>
        <w:rPr>
          <w:bCs/>
          <w:b/>
        </w:rPr>
        <w:t xml:space="preserve">Table 3.1: Expected Topological Invariants for Standard Physical Objects</w:t>
      </w:r>
    </w:p>
    <w:tbl>
      <w:tblPr>
        <w:tblStyle w:val="Table"/>
        <w:tblW w:type="pct" w:w="5000.0"/>
        <w:tblLook w:firstRow="1" w:lastRow="0" w:firstColumn="0" w:lastColumn="0" w:noHBand="0" w:noVBand="0" w:val="0020"/>
      </w:tblPr>
      <w:tblGrid>
        <w:gridCol w:w="1440"/>
        <w:gridCol w:w="1800"/>
        <w:gridCol w:w="1800"/>
        <w:gridCol w:w="1440"/>
        <w:gridCol w:w="1440"/>
      </w:tblGrid>
      <w:tr>
        <w:tc>
          <w:p>
            <w:pPr>
              <w:pStyle w:val="Compact"/>
              <w:jc w:val="left"/>
            </w:pPr>
            <w:r>
              <w:t xml:space="preserve">Metric</w:t>
            </w:r>
          </w:p>
        </w:tc>
        <w:tc>
          <w:p>
            <w:pPr>
              <w:pStyle w:val="Compact"/>
              <w:jc w:val="center"/>
            </w:pPr>
            <w:r>
              <w:t xml:space="preserve">Symbol</w:t>
            </w:r>
          </w:p>
        </w:tc>
        <w:tc>
          <w:p>
            <w:pPr>
              <w:pStyle w:val="Compact"/>
              <w:jc w:val="center"/>
            </w:pPr>
            <w:r>
              <w:t xml:space="preserve">Expected Value</w:t>
            </w:r>
          </w:p>
        </w:tc>
        <w:tc>
          <w:p>
            <w:pPr>
              <w:pStyle w:val="Compact"/>
              <w:jc w:val="left"/>
            </w:pPr>
            <w:r>
              <w:t xml:space="preserve">Geometric Interpretation</w:t>
            </w:r>
          </w:p>
        </w:tc>
        <w:tc>
          <w:p>
            <w:pPr>
              <w:pStyle w:val="Compact"/>
              <w:jc w:val="left"/>
            </w:pPr>
            <w:r>
              <w:t xml:space="preserve">Hallucination Indicator</w:t>
            </w:r>
          </w:p>
        </w:tc>
      </w:tr>
      <w:tr>
        <w:tc>
          <w:p>
            <w:pPr>
              <w:pStyle w:val="Compact"/>
              <w:jc w:val="left"/>
            </w:pPr>
            <w:r>
              <w:t xml:space="preserve">Connected Components</w:t>
            </w:r>
          </w:p>
        </w:tc>
        <w:tc>
          <w:p>
            <w:pPr>
              <w:pStyle w:val="Compact"/>
              <w:jc w:val="center"/>
            </w:pPr>
            <m:oMath>
              <m:sSub>
                <m:e>
                  <m:r>
                    <m:t>β</m:t>
                  </m:r>
                </m:e>
                <m:sub>
                  <m:r>
                    <m:t>0</m:t>
                  </m:r>
                </m:sub>
              </m:sSub>
            </m:oMath>
          </w:p>
        </w:tc>
        <w:tc>
          <w:p>
            <w:pPr>
              <w:pStyle w:val="Compact"/>
              <w:jc w:val="center"/>
            </w:pPr>
            <w:r>
              <w:t xml:space="preserve">1</w:t>
            </w:r>
          </w:p>
        </w:tc>
        <w:tc>
          <w:p>
            <w:pPr>
              <w:pStyle w:val="Compact"/>
              <w:jc w:val="left"/>
            </w:pPr>
            <w:r>
              <w:t xml:space="preserve">Single connected surface</w:t>
            </w:r>
          </w:p>
        </w:tc>
        <w:tc>
          <w:p>
            <w:pPr>
              <w:pStyle w:val="Compact"/>
              <w:jc w:val="left"/>
            </w:pPr>
            <m:oMath>
              <m:sSub>
                <m:e>
                  <m:r>
                    <m:t>β</m:t>
                  </m:r>
                </m:e>
                <m:sub>
                  <m:r>
                    <m:t>0</m:t>
                  </m:r>
                </m:sub>
              </m:sSub>
              <m:r>
                <m:rPr>
                  <m:sty m:val="p"/>
                </m:rPr>
                <m:t>&gt;</m:t>
              </m:r>
              <m:r>
                <m:t>1</m:t>
              </m:r>
            </m:oMath>
            <w:r>
              <w:t xml:space="preserve"> </w:t>
            </w:r>
            <w:r>
              <w:t xml:space="preserve">(Floating artefacts)</w:t>
            </w:r>
          </w:p>
        </w:tc>
      </w:tr>
      <w:tr>
        <w:tc>
          <w:p>
            <w:pPr>
              <w:pStyle w:val="Compact"/>
              <w:jc w:val="left"/>
            </w:pPr>
            <w:r>
              <w:t xml:space="preserve">Handles / Loops</w:t>
            </w:r>
          </w:p>
        </w:tc>
        <w:tc>
          <w:p>
            <w:pPr>
              <w:pStyle w:val="Compact"/>
              <w:jc w:val="center"/>
            </w:pPr>
            <m:oMath>
              <m:sSub>
                <m:e>
                  <m:r>
                    <m:t>β</m:t>
                  </m:r>
                </m:e>
                <m:sub>
                  <m:r>
                    <m:t>1</m:t>
                  </m:r>
                </m:sub>
              </m:sSub>
            </m:oMath>
          </w:p>
        </w:tc>
        <w:tc>
          <w:p>
            <w:pPr>
              <w:pStyle w:val="Compact"/>
              <w:jc w:val="center"/>
            </w:pPr>
            <w:r>
              <w:t xml:space="preserve">0</w:t>
            </w:r>
          </w:p>
        </w:tc>
        <w:tc>
          <w:p>
            <w:pPr>
              <w:pStyle w:val="Compact"/>
              <w:jc w:val="left"/>
            </w:pPr>
            <w:r>
              <w:t xml:space="preserve">No unintended holes</w:t>
            </w:r>
          </w:p>
        </w:tc>
        <w:tc>
          <w:p>
            <w:pPr>
              <w:pStyle w:val="Compact"/>
              <w:jc w:val="left"/>
            </w:pPr>
            <m:oMath>
              <m:sSub>
                <m:e>
                  <m:r>
                    <m:t>β</m:t>
                  </m:r>
                </m:e>
                <m:sub>
                  <m:r>
                    <m:t>1</m:t>
                  </m:r>
                </m:sub>
              </m:sSub>
              <m:r>
                <m:rPr>
                  <m:sty m:val="p"/>
                </m:rPr>
                <m:t>&gt;</m:t>
              </m:r>
              <m:r>
                <m:t>0</m:t>
              </m:r>
            </m:oMath>
            <w:r>
              <w:t xml:space="preserve"> </w:t>
            </w:r>
            <w:r>
              <w:t xml:space="preserve">(Unnatural bridges)</w:t>
            </w:r>
          </w:p>
        </w:tc>
      </w:tr>
      <w:tr>
        <w:tc>
          <w:p>
            <w:pPr>
              <w:pStyle w:val="Compact"/>
              <w:jc w:val="left"/>
            </w:pPr>
            <w:r>
              <w:t xml:space="preserve">Enclosed Voids</w:t>
            </w:r>
          </w:p>
        </w:tc>
        <w:tc>
          <w:p>
            <w:pPr>
              <w:pStyle w:val="Compact"/>
              <w:jc w:val="center"/>
            </w:pPr>
            <m:oMath>
              <m:sSub>
                <m:e>
                  <m:r>
                    <m:t>β</m:t>
                  </m:r>
                </m:e>
                <m:sub>
                  <m:r>
                    <m:t>2</m:t>
                  </m:r>
                </m:sub>
              </m:sSub>
            </m:oMath>
          </w:p>
        </w:tc>
        <w:tc>
          <w:p>
            <w:pPr>
              <w:pStyle w:val="Compact"/>
              <w:jc w:val="center"/>
            </w:pPr>
            <w:r>
              <w:t xml:space="preserve">1</w:t>
            </w:r>
          </w:p>
        </w:tc>
        <w:tc>
          <w:p>
            <w:pPr>
              <w:pStyle w:val="Compact"/>
              <w:jc w:val="left"/>
            </w:pPr>
            <w:r>
              <w:t xml:space="preserve">One continuous interior</w:t>
            </w:r>
          </w:p>
        </w:tc>
        <w:tc>
          <w:p>
            <w:pPr>
              <w:pStyle w:val="Compact"/>
              <w:jc w:val="left"/>
            </w:pPr>
            <m:oMath>
              <m:sSub>
                <m:e>
                  <m:r>
                    <m:t>β</m:t>
                  </m:r>
                </m:e>
                <m:sub>
                  <m:r>
                    <m:t>2</m:t>
                  </m:r>
                </m:sub>
              </m:sSub>
              <m:r>
                <m:rPr>
                  <m:sty m:val="p"/>
                </m:rPr>
                <m:t>≠</m:t>
              </m:r>
              <m:r>
                <m:t>1</m:t>
              </m:r>
            </m:oMath>
            <w:r>
              <w:t xml:space="preserve"> </w:t>
            </w:r>
            <w:r>
              <w:t xml:space="preserve">(Internal fragmentation)</w:t>
            </w:r>
          </w:p>
        </w:tc>
      </w:tr>
    </w:tbl>
    <w:p>
      <w:pPr>
        <w:pStyle w:val="BodyText"/>
      </w:pPr>
      <w:r>
        <w:t xml:space="preserve">Deviations from these expected values are direct topological signatures of hallucinations.</w:t>
      </w:r>
    </w:p>
    <w:p>
      <w:pPr>
        <w:pStyle w:val="BodyText"/>
      </w:pPr>
      <w:r>
        <w:t xml:space="preserve">Adversarial learning, introduced by Generative Adversarial Networks (GANs), establishes a theoretical framework in which a generator and a discriminator are trained in a min-max optimisation. In the context of 3D mesh quality, the adversarial paradigm is applied not for generation but for discriminative anomaly detection: a critic network is trained to distinguish geometrically sound mesh regions from hallucinated regions, producing per-vertex anomaly scores that localise the spatial extent of structural errors. Graph Convolutional Networks (GCNs)—specifically, architectures using GCNConv layers that aggregate neighbourhood features by multiplying the adjacency matrix with node feature matrices—are particularly well-suited to this task, as they operate natively on graph-structured data and can propagate geometric context across mesh neighbourhoods in</w:t>
      </w:r>
      <w:r>
        <w:t xml:space="preserve"> </w:t>
      </w:r>
      <m:oMath>
        <m:r>
          <m:t>O</m:t>
        </m:r>
        <m:r>
          <m:rPr>
            <m:sty m:val="p"/>
          </m:rPr>
          <m:t>(</m:t>
        </m:r>
        <m:r>
          <m:rPr>
            <m:sty m:val="p"/>
          </m:rPr>
          <m:t>|</m:t>
        </m:r>
        <m:r>
          <m:t>E</m:t>
        </m:r>
        <m:r>
          <m:rPr>
            <m:sty m:val="p"/>
          </m:rPr>
          <m:t>|</m:t>
        </m:r>
        <m:r>
          <m:rPr>
            <m:sty m:val="p"/>
          </m:rPr>
          <m:t>)</m:t>
        </m:r>
      </m:oMath>
      <w:r>
        <w:t xml:space="preserve"> </w:t>
      </w:r>
      <w:r>
        <w:t xml:space="preserve">time. The heuristic version of this critic computes degree z-scores:</w:t>
      </w:r>
    </w:p>
    <w:p>
      <w:pPr>
        <w:pStyle w:val="BodyText"/>
      </w:pPr>
      <m:oMathPara>
        <m:oMathParaPr>
          <m:jc m:val="center"/>
        </m:oMathParaPr>
        <m:oMath>
          <m:sSub>
            <m:e>
              <m:r>
                <m:t>z</m:t>
              </m:r>
            </m:e>
            <m:sub>
              <m:r>
                <m:rPr>
                  <m:nor/>
                  <m:sty m:val="p"/>
                </m:rPr>
                <m:t>deg</m:t>
              </m:r>
            </m:sub>
          </m:sSub>
          <m:r>
            <m:rPr>
              <m:sty m:val="p"/>
            </m:rPr>
            <m:t>(</m:t>
          </m:r>
          <m:sSub>
            <m:e>
              <m:r>
                <m:t>v</m:t>
              </m:r>
            </m:e>
            <m:sub>
              <m:r>
                <m:t>i</m:t>
              </m:r>
            </m:sub>
          </m:sSub>
          <m:r>
            <m:rPr>
              <m:sty m:val="p"/>
            </m:rPr>
            <m:t>)</m:t>
          </m:r>
          <m:r>
            <m:rPr>
              <m:sty m:val="p"/>
            </m:rPr>
            <m:t>=</m:t>
          </m:r>
          <m:f>
            <m:fPr>
              <m:type m:val="bar"/>
            </m:fPr>
            <m:num>
              <m:r>
                <m:rPr>
                  <m:nor/>
                  <m:sty m:val="p"/>
                </m:rPr>
                <m:t>deg</m:t>
              </m:r>
              <m:r>
                <m:rPr>
                  <m:sty m:val="p"/>
                </m:rPr>
                <m:t>(</m:t>
              </m:r>
              <m:sSub>
                <m:e>
                  <m:r>
                    <m:t>v</m:t>
                  </m:r>
                </m:e>
                <m:sub>
                  <m:r>
                    <m:t>i</m:t>
                  </m:r>
                </m:sub>
              </m:sSub>
              <m:r>
                <m:rPr>
                  <m:sty m:val="p"/>
                </m:rPr>
                <m:t>)</m:t>
              </m:r>
              <m:r>
                <m:rPr>
                  <m:sty m:val="p"/>
                </m:rPr>
                <m:t>−</m:t>
              </m:r>
              <m:sSub>
                <m:e>
                  <m:r>
                    <m:t>μ</m:t>
                  </m:r>
                </m:e>
                <m:sub>
                  <m:r>
                    <m:rPr>
                      <m:nor/>
                      <m:sty m:val="p"/>
                    </m:rPr>
                    <m:t>deg</m:t>
                  </m:r>
                </m:sub>
              </m:sSub>
            </m:num>
            <m:den>
              <m:sSub>
                <m:e>
                  <m:r>
                    <m:t>σ</m:t>
                  </m:r>
                </m:e>
                <m:sub>
                  <m:r>
                    <m:rPr>
                      <m:nor/>
                      <m:sty m:val="p"/>
                    </m:rPr>
                    <m:t>deg</m:t>
                  </m:r>
                </m:sub>
              </m:sSub>
            </m:den>
          </m:f>
        </m:oMath>
      </m:oMathPara>
    </w:p>
    <w:p>
      <w:pPr>
        <w:pStyle w:val="FirstParagraph"/>
      </w:pPr>
      <w:r>
        <w:t xml:space="preserve">and edge-length z-scores:</w:t>
      </w:r>
    </w:p>
    <w:p>
      <w:pPr>
        <w:pStyle w:val="BodyText"/>
      </w:pPr>
      <m:oMathPara>
        <m:oMathParaPr>
          <m:jc m:val="center"/>
        </m:oMathParaPr>
        <m:oMath>
          <m:sSub>
            <m:e>
              <m:r>
                <m:t>z</m:t>
              </m:r>
            </m:e>
            <m:sub>
              <m:r>
                <m:rPr>
                  <m:nor/>
                  <m:sty m:val="p"/>
                </m:rPr>
                <m:t>len</m:t>
              </m:r>
            </m:sub>
          </m:sSub>
          <m:r>
            <m:rPr>
              <m:sty m:val="p"/>
            </m:rPr>
            <m:t>(</m:t>
          </m:r>
          <m:sSub>
            <m:e>
              <m:r>
                <m:t>v</m:t>
              </m:r>
            </m:e>
            <m:sub>
              <m:r>
                <m:t>i</m:t>
              </m:r>
            </m:sub>
          </m:sSub>
          <m:r>
            <m:rPr>
              <m:sty m:val="p"/>
            </m:rPr>
            <m:t>)</m:t>
          </m:r>
          <m:r>
            <m:rPr>
              <m:sty m:val="p"/>
            </m:rPr>
            <m:t>=</m:t>
          </m:r>
          <m:f>
            <m:fPr>
              <m:type m:val="bar"/>
            </m:fPr>
            <m:num>
              <m:r>
                <m:rPr>
                  <m:nor/>
                  <m:sty m:val="p"/>
                </m:rPr>
                <m:t>mean_edge_len</m:t>
              </m:r>
              <m:r>
                <m:rPr>
                  <m:sty m:val="p"/>
                </m:rPr>
                <m:t>(</m:t>
              </m:r>
              <m:sSub>
                <m:e>
                  <m:r>
                    <m:t>v</m:t>
                  </m:r>
                </m:e>
                <m:sub>
                  <m:r>
                    <m:t>i</m:t>
                  </m:r>
                </m:sub>
              </m:sSub>
              <m:r>
                <m:rPr>
                  <m:sty m:val="p"/>
                </m:rPr>
                <m:t>)</m:t>
              </m:r>
              <m:r>
                <m:rPr>
                  <m:sty m:val="p"/>
                </m:rPr>
                <m:t>−</m:t>
              </m:r>
              <m:sSub>
                <m:e>
                  <m:r>
                    <m:t>μ</m:t>
                  </m:r>
                </m:e>
                <m:sub>
                  <m:r>
                    <m:rPr>
                      <m:nor/>
                      <m:sty m:val="p"/>
                    </m:rPr>
                    <m:t>len</m:t>
                  </m:r>
                </m:sub>
              </m:sSub>
            </m:num>
            <m:den>
              <m:sSub>
                <m:e>
                  <m:r>
                    <m:t>σ</m:t>
                  </m:r>
                </m:e>
                <m:sub>
                  <m:r>
                    <m:rPr>
                      <m:nor/>
                      <m:sty m:val="p"/>
                    </m:rPr>
                    <m:t>len</m:t>
                  </m:r>
                </m:sub>
              </m:sSub>
            </m:den>
          </m:f>
        </m:oMath>
      </m:oMathPara>
    </w:p>
    <w:p>
      <w:pPr>
        <w:pStyle w:val="FirstParagraph"/>
      </w:pPr>
      <w:r>
        <w:t xml:space="preserve">for each vertex, flagging statistical outliers as anomalous.</w:t>
      </w:r>
    </w:p>
    <w:p>
      <w:pPr>
        <w:pStyle w:val="BodyText"/>
      </w:pPr>
      <w:r>
        <w:t xml:space="preserve">Self-distillation, in the context of mesh refinement, refers to an iterative optimisation procedure in which the original mesh serves simultaneously as the optimisation target (providing the structural anchor term</w:t>
      </w:r>
      <w:r>
        <w:t xml:space="preserve"> </w:t>
      </w:r>
      <m:oMath>
        <m:r>
          <m:t>D</m:t>
        </m:r>
        <m:r>
          <m:rPr>
            <m:sty m:val="p"/>
          </m:rPr>
          <m:t>=</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r>
          <m:rPr>
            <m:sty m:val="p"/>
          </m:rPr>
          <m:t>∥</m:t>
        </m:r>
      </m:oMath>
      <w:r>
        <w:t xml:space="preserve">) and as the reference for the Laplacian smoothing loss (</w:t>
      </w:r>
      <m:oMath>
        <m:sSub>
          <m:e>
            <m:r>
              <m:t>L</m:t>
            </m:r>
          </m:e>
          <m:sub>
            <m:r>
              <m:rPr>
                <m:nor/>
                <m:sty m:val="p"/>
              </m:rPr>
              <m:t>geo</m:t>
            </m:r>
          </m:sub>
        </m:sSub>
        <m:r>
          <m:rPr>
            <m:sty m:val="p"/>
          </m:rPr>
          <m:t>=</m:t>
        </m:r>
        <m:r>
          <m:rPr>
            <m:sty m:val="p"/>
          </m:rPr>
          <m:t>∑</m:t>
        </m:r>
        <m:r>
          <m:rPr>
            <m:sty m:val="p"/>
          </m:rPr>
          <m:t>∥</m:t>
        </m:r>
        <m:sSub>
          <m:e>
            <m:r>
              <m:t>v</m:t>
            </m:r>
          </m:e>
          <m:sub>
            <m:r>
              <m:t>i</m:t>
            </m:r>
          </m:sub>
        </m:sSub>
        <m:r>
          <m:rPr>
            <m:sty m:val="p"/>
          </m:rPr>
          <m:t>−</m:t>
        </m:r>
        <m:r>
          <m:rPr>
            <m:nor/>
            <m:sty m:val="p"/>
          </m:rPr>
          <m:t>mean</m:t>
        </m:r>
        <m:r>
          <m:rPr>
            <m:sty m:val="p"/>
          </m:rPr>
          <m:t>(</m:t>
        </m:r>
        <m:r>
          <m:t>N</m:t>
        </m:r>
        <m:r>
          <m:rPr>
            <m:sty m:val="p"/>
          </m:rPr>
          <m:t>(</m:t>
        </m:r>
        <m:r>
          <m:t>i</m:t>
        </m:r>
        <m:r>
          <m:rPr>
            <m:sty m:val="p"/>
          </m:rPr>
          <m:t>)</m:t>
        </m:r>
        <m:r>
          <m:rPr>
            <m:sty m:val="p"/>
          </m:rPr>
          <m:t>)</m:t>
        </m:r>
        <m:r>
          <m:rPr>
            <m:sty m:val="p"/>
          </m:rPr>
          <m:t>∥</m:t>
        </m:r>
      </m:oMath>
      <w:r>
        <w:t xml:space="preserve">). This teacher-student structure prevents the optimiser from drifting arbitrarily far from the original geometry while still allowing targeted correction of hallucinated regions through the weighting function</w:t>
      </w:r>
      <w:r>
        <w:t xml:space="preserve"> </w:t>
      </w:r>
      <m:oMath>
        <m:sSub>
          <m:e>
            <m:r>
              <m:t>w</m:t>
            </m:r>
          </m:e>
          <m:sub>
            <m:r>
              <m:t>i</m:t>
            </m:r>
          </m:sub>
        </m:sSub>
      </m:oMath>
      <w:r>
        <w:t xml:space="preserve">. The combined energy:</w:t>
      </w:r>
    </w:p>
    <w:p>
      <w:pPr>
        <w:pStyle w:val="BodyText"/>
      </w:pPr>
      <m:oMathPara>
        <m:oMathParaPr>
          <m:jc m:val="center"/>
        </m:oMathParaPr>
        <m:oMath>
          <m:r>
            <m:t>E</m:t>
          </m:r>
          <m:r>
            <m:rPr>
              <m:sty m:val="p"/>
            </m:rPr>
            <m:t>(</m:t>
          </m:r>
          <m:r>
            <m:t>x</m:t>
          </m:r>
          <m:r>
            <m:rPr>
              <m:sty m:val="p"/>
            </m:rPr>
            <m:t>)</m:t>
          </m:r>
          <m:r>
            <m:rPr>
              <m:sty m:val="p"/>
            </m:rPr>
            <m:t>=</m:t>
          </m:r>
          <m:r>
            <m:t>λ</m:t>
          </m:r>
          <m:r>
            <m:rPr>
              <m:sty m:val="p"/>
            </m:rPr>
            <m:t>⋅</m:t>
          </m:r>
          <m:sSub>
            <m:e>
              <m:r>
                <m:t>L</m:t>
              </m:r>
            </m:e>
            <m:sub>
              <m:r>
                <m:rPr>
                  <m:nor/>
                  <m:sty m:val="p"/>
                </m:rPr>
                <m:t>geo</m:t>
              </m:r>
            </m:sub>
          </m:sSub>
          <m:r>
            <m:rPr>
              <m:sty m:val="p"/>
            </m:rPr>
            <m:t>+</m:t>
          </m:r>
          <m:r>
            <m:rPr>
              <m:sty m:val="p"/>
            </m:rPr>
            <m:t>(</m:t>
          </m:r>
          <m:r>
            <m:t>1</m:t>
          </m:r>
          <m:r>
            <m:rPr>
              <m:sty m:val="p"/>
            </m:rPr>
            <m:t>−</m:t>
          </m:r>
          <m:r>
            <m:t>λ</m:t>
          </m:r>
          <m:r>
            <m:rPr>
              <m:sty m:val="p"/>
            </m:rPr>
            <m:t>)</m:t>
          </m:r>
          <m:r>
            <m:rPr>
              <m:sty m:val="p"/>
            </m:rPr>
            <m:t>⋅</m:t>
          </m:r>
          <m:r>
            <m:t>D</m:t>
          </m:r>
        </m:oMath>
      </m:oMathPara>
    </w:p>
    <w:p>
      <w:pPr>
        <w:pStyle w:val="FirstParagraph"/>
      </w:pPr>
      <w:r>
        <w:t xml:space="preserve">with</w:t>
      </w:r>
      <w:r>
        <w:t xml:space="preserve"> </w:t>
      </w:r>
      <m:oMath>
        <m:r>
          <m:t>λ</m:t>
        </m:r>
        <m:r>
          <m:rPr>
            <m:sty m:val="p"/>
          </m:rPr>
          <m:t>∈</m:t>
        </m:r>
        <m:r>
          <m:rPr>
            <m:sty m:val="p"/>
          </m:rPr>
          <m:t>[</m:t>
        </m:r>
        <m:r>
          <m:t>0</m:t>
        </m:r>
        <m:r>
          <m:rPr>
            <m:sty m:val="p"/>
          </m:rPr>
          <m:t>,</m:t>
        </m:r>
        <m:r>
          <m:t>1</m:t>
        </m:r>
        <m:r>
          <m:rPr>
            <m:sty m:val="p"/>
          </m:rPr>
          <m:t>]</m:t>
        </m:r>
      </m:oMath>
      <w:r>
        <w:t xml:space="preserve"> </w:t>
      </w:r>
      <w:r>
        <w:t xml:space="preserve">provides a theoretically grounded trade-off between smoothness and fidelity that is directly controllable through the hyperparameter</w:t>
      </w:r>
      <w:r>
        <w:t xml:space="preserve"> </w:t>
      </w:r>
      <m:oMath>
        <m:sSub>
          <m:e>
            <m:r>
              <m:t>λ</m:t>
            </m:r>
          </m:e>
          <m:sub>
            <m:r>
              <m:rPr>
                <m:nor/>
                <m:sty m:val="p"/>
              </m:rPr>
              <m:t>geo</m:t>
            </m:r>
          </m:sub>
        </m:sSub>
      </m:oMath>
      <w:r>
        <w:t xml:space="preserve">.</w:t>
      </w:r>
    </w:p>
    <w:p>
      <w:pPr>
        <w:pStyle w:val="BodyText"/>
      </w:pPr>
      <w:r>
        <w:rPr>
          <w:bCs/>
          <w:b/>
        </w:rPr>
        <w:t xml:space="preserve">[IMAGE PLACEHOLDER FOR FIGURE 3.2]</w:t>
      </w:r>
      <w:r>
        <w:t xml:space="preserve"> </w:t>
      </w:r>
      <w:r>
        <w:rPr>
          <w:iCs/>
          <w:i/>
        </w:rPr>
        <w:t xml:space="preserve">Suggested Visual: A grid comparing</w:t>
      </w:r>
      <w:r>
        <w:rPr>
          <w:iCs/>
          <w:i/>
        </w:rPr>
        <w:t xml:space="preserve"> </w:t>
      </w:r>
      <w:r>
        <w:rPr>
          <w:iCs/>
          <w:i/>
        </w:rPr>
        <w:t xml:space="preserve">“</w:t>
      </w:r>
      <w:r>
        <w:rPr>
          <w:iCs/>
          <w:i/>
        </w:rPr>
        <w:t xml:space="preserve">Clean Geometry</w:t>
      </w:r>
      <w:r>
        <w:rPr>
          <w:iCs/>
          <w:i/>
        </w:rPr>
        <w:t xml:space="preserve">”</w:t>
      </w:r>
      <w:r>
        <w:rPr>
          <w:iCs/>
          <w:i/>
        </w:rPr>
        <w:t xml:space="preserve"> </w:t>
      </w:r>
      <w:r>
        <w:rPr>
          <w:iCs/>
          <w:i/>
        </w:rPr>
        <w:t xml:space="preserve">vs</w:t>
      </w:r>
      <w:r>
        <w:rPr>
          <w:iCs/>
          <w:i/>
        </w:rPr>
        <w:t xml:space="preserve"> </w:t>
      </w:r>
      <w:r>
        <w:rPr>
          <w:iCs/>
          <w:i/>
        </w:rPr>
        <w:t xml:space="preserve">“</w:t>
      </w:r>
      <w:r>
        <w:rPr>
          <w:iCs/>
          <w:i/>
        </w:rPr>
        <w:t xml:space="preserve">Hallucinated Geometry</w:t>
      </w:r>
      <w:r>
        <w:rPr>
          <w:iCs/>
          <w:i/>
        </w:rPr>
        <w:t xml:space="preserve">”</w:t>
      </w:r>
      <w:r>
        <w:rPr>
          <w:iCs/>
          <w:i/>
        </w:rPr>
        <w:t xml:space="preserve">. Include visual examples of meshes with varying Fiedler values, eigenvalue variances, and Betti numbers (e.g., showing a clean sphere</w:t>
      </w:r>
      <w:r>
        <w:rPr>
          <w:iCs/>
          <w:i/>
        </w:rPr>
        <w:t xml:space="preserve"> </w:t>
      </w:r>
      <m:oMath>
        <m:sSub>
          <m:e>
            <m:r>
              <m:t>β</m:t>
            </m:r>
          </m:e>
          <m:sub>
            <m:r>
              <m:t>0</m:t>
            </m:r>
          </m:sub>
        </m:sSub>
        <m:r>
          <m:rPr>
            <m:sty m:val="p"/>
          </m:rPr>
          <m:t>=</m:t>
        </m:r>
        <m:r>
          <m:t>1</m:t>
        </m:r>
      </m:oMath>
      <w:r>
        <w:rPr>
          <w:iCs/>
          <w:i/>
        </w:rPr>
        <w:t xml:space="preserve"> </w:t>
      </w:r>
      <w:r>
        <w:rPr>
          <w:iCs/>
          <w:i/>
        </w:rPr>
        <w:t xml:space="preserve">versus a mesh with floating duplicated heads</w:t>
      </w:r>
      <w:r>
        <w:rPr>
          <w:iCs/>
          <w:i/>
        </w:rPr>
        <w:t xml:space="preserve"> </w:t>
      </w:r>
      <m:oMath>
        <m:sSub>
          <m:e>
            <m:r>
              <m:t>β</m:t>
            </m:r>
          </m:e>
          <m:sub>
            <m:r>
              <m:t>0</m:t>
            </m:r>
          </m:sub>
        </m:sSub>
        <m:r>
          <m:rPr>
            <m:sty m:val="p"/>
          </m:rPr>
          <m:t>=</m:t>
        </m:r>
        <m:r>
          <m:t>2</m:t>
        </m:r>
      </m:oMath>
      <w:r>
        <w:rPr>
          <w:iCs/>
          <w:i/>
        </w:rPr>
        <w:t xml:space="preserve">, and a mesh with geometric spikes showing high eigenvalue variance).</w:t>
      </w:r>
    </w:p>
    <w:bookmarkEnd w:id="21"/>
    <w:bookmarkStart w:id="22" w:name="revisiting-the-research-gap"/>
    <w:p>
      <w:pPr>
        <w:pStyle w:val="Heading2"/>
      </w:pPr>
      <w:r>
        <w:t xml:space="preserve">3.3 Revisiting the Research Gap</w:t>
      </w:r>
    </w:p>
    <w:p>
      <w:pPr>
        <w:pStyle w:val="FirstParagraph"/>
      </w:pPr>
      <w:r>
        <w:t xml:space="preserve">The research gap identified in Chapter 2—the absence of a closed-loop geometric grounding mechanism—can be re-examined through the theoretical frameworks surveyed above, revealing that the gap has a precise theoretical characterisation rather than being merely an engineering shortfall.</w:t>
      </w:r>
    </w:p>
    <w:p>
      <w:pPr>
        <w:pStyle w:val="BodyText"/>
      </w:pPr>
      <w:r>
        <w:t xml:space="preserve">The core theoretical deficiency of SDS-based methods is the absence of any geometric constraint term in the optimisation objective. The SDS gradient</w:t>
      </w:r>
      <w:r>
        <w:t xml:space="preserve"> </w:t>
      </w:r>
      <m:oMath>
        <m:sSub>
          <m:e>
            <m:r>
              <m:rPr>
                <m:sty m:val="p"/>
              </m:rPr>
              <m:t>∇</m:t>
            </m:r>
          </m:e>
          <m:sub>
            <m:r>
              <m:t>θ</m:t>
            </m:r>
          </m:sub>
        </m:sSub>
        <m:sSub>
          <m:e>
            <m:r>
              <m:rPr>
                <m:sty m:val="p"/>
                <m:scr m:val="script"/>
              </m:rPr>
              <m:t>L</m:t>
            </m:r>
          </m:e>
          <m:sub>
            <m:r>
              <m:rPr>
                <m:nor/>
                <m:sty m:val="p"/>
              </m:rPr>
              <m:t>SDS</m:t>
            </m:r>
          </m:sub>
        </m:sSub>
      </m:oMath>
      <w:r>
        <w:t xml:space="preserve"> </w:t>
      </w:r>
      <w:r>
        <w:t xml:space="preserve">is derived entirely from a 2D diffusion model whose probability distribution is defined over pixel space, not over the space of valid 3D manifolds. There is no term in</w:t>
      </w:r>
      <w:r>
        <w:t xml:space="preserve"> </w:t>
      </w:r>
      <m:oMath>
        <m:sSub>
          <m:e>
            <m:r>
              <m:rPr>
                <m:sty m:val="p"/>
                <m:scr m:val="script"/>
              </m:rPr>
              <m:t>L</m:t>
            </m:r>
          </m:e>
          <m:sub>
            <m:r>
              <m:rPr>
                <m:nor/>
                <m:sty m:val="p"/>
              </m:rPr>
              <m:t>SDS</m:t>
            </m:r>
          </m:sub>
        </m:sSub>
      </m:oMath>
      <w:r>
        <w:t xml:space="preserve"> </w:t>
      </w:r>
      <w:r>
        <w:t xml:space="preserve">that penalises topological violations (</w:t>
      </w:r>
      <m:oMath>
        <m:r>
          <m:t>g</m:t>
        </m:r>
        <m:r>
          <m:rPr>
            <m:sty m:val="p"/>
          </m:rPr>
          <m:t>&gt;</m:t>
        </m:r>
        <m:r>
          <m:t>0</m:t>
        </m:r>
      </m:oMath>
      <w:r>
        <w:t xml:space="preserve">,</w:t>
      </w:r>
      <w:r>
        <w:t xml:space="preserve"> </w:t>
      </w:r>
      <m:oMath>
        <m:sSub>
          <m:e>
            <m:r>
              <m:t>β</m:t>
            </m:r>
          </m:e>
          <m:sub>
            <m:r>
              <m:t>0</m:t>
            </m:r>
          </m:sub>
        </m:sSub>
        <m:r>
          <m:rPr>
            <m:sty m:val="p"/>
          </m:rPr>
          <m:t>&gt;</m:t>
        </m:r>
        <m:r>
          <m:t>1</m:t>
        </m:r>
      </m:oMath>
      <w:r>
        <w:t xml:space="preserve">, non-manifold edges), spectral anomalies (high Laplacian eigenvalue variance), or spatial disconnection (Fiedler value</w:t>
      </w:r>
      <w:r>
        <w:t xml:space="preserve"> </w:t>
      </w:r>
      <m:oMath>
        <m:r>
          <m:rPr>
            <m:sty m:val="p"/>
          </m:rPr>
          <m:t>≈</m:t>
        </m:r>
        <m:r>
          <m:t>0</m:t>
        </m:r>
      </m:oMath>
      <w:r>
        <w:t xml:space="preserve">). The optimiser is therefore free to converge to 3D configurations that maximise 2D image likelihood while violating all principles of geometric regularity. This is not a limitation of the specific implementations in DreamFusion [2], Magic3D [5], or Fantasia3D [4]—it is a structural consequence of optimising a loss function defined entirely in 2D space.</w:t>
      </w:r>
    </w:p>
    <w:p>
      <w:pPr>
        <w:pStyle w:val="BodyText"/>
      </w:pPr>
      <w:r>
        <w:t xml:space="preserve">The score-space debiasing approaches of Perp-Neg [7] and Entropic Score Distillation [8] address the mode-collapse aspect of this problem by modifying the gradient direction in score space, but they remain theoretically incapable of correcting geometric hallucinations because they operate upstream of any 3D representation: they reshape the 2D gradient signal before it reaches the 3D optimiser, without ever examining the geometric state of the mesh being produced. The theoretical limitation is that view diversity in gradient space does not guarantee topological validity in mesh space—a gradient that promotes diverse views still does not penalise a mesh with multiple connected components or excessive genus.</w:t>
      </w:r>
    </w:p>
    <w:p>
      <w:pPr>
        <w:pStyle w:val="BodyText"/>
      </w:pPr>
      <w:r>
        <w:t xml:space="preserve">Hallo3D [6] introduced a fundamentally different theoretical approach by adding a detection layer that inspects the 3D representation after rendering. However, the theoretical limitation of Hallo3D lies in its information channel: detected hallucinations are communicated back to the optimiser through natural language, which is a discrete symbolic representation. The mapping from a spatial hallucination (e.g.,</w:t>
      </w:r>
      <w:r>
        <w:t xml:space="preserve"> </w:t>
      </w:r>
      <w:r>
        <w:t xml:space="preserve">“</w:t>
      </w:r>
      <w:r>
        <w:t xml:space="preserve">a duplicate face centred at mesh coordinates</w:t>
      </w:r>
      <w:r>
        <w:t xml:space="preserve"> </w:t>
      </w:r>
      <m:oMath>
        <m:r>
          <m:rPr>
            <m:sty m:val="p"/>
          </m:rPr>
          <m:t>(</m:t>
        </m:r>
        <m:r>
          <m:t>0.3</m:t>
        </m:r>
        <m:r>
          <m:rPr>
            <m:sty m:val="p"/>
          </m:rPr>
          <m:t>,</m:t>
        </m:r>
        <m:r>
          <m:t>0.8</m:t>
        </m:r>
        <m:r>
          <m:rPr>
            <m:sty m:val="p"/>
          </m:rPr>
          <m:t>,</m:t>
        </m:r>
        <m:r>
          <m:rPr>
            <m:sty m:val="p"/>
          </m:rPr>
          <m:t>−</m:t>
        </m:r>
        <m:r>
          <m:t>0.2</m:t>
        </m:r>
        <m:r>
          <m:rPr>
            <m:sty m:val="p"/>
          </m:rPr>
          <m:t>)</m:t>
        </m:r>
      </m:oMath>
      <w:r>
        <w:t xml:space="preserve">”</w:t>
      </w:r>
      <w:r>
        <w:t xml:space="preserve">) to a natural-language negative prompt (e.g.,</w:t>
      </w:r>
      <w:r>
        <w:t xml:space="preserve"> </w:t>
      </w:r>
      <w:r>
        <w:t xml:space="preserve">“</w:t>
      </w:r>
      <w:r>
        <w:t xml:space="preserve">no Janus face</w:t>
      </w:r>
      <w:r>
        <w:t xml:space="preserve">”</w:t>
      </w:r>
      <w:r>
        <w:t xml:space="preserve">) is a many-to-one lossy compression: the spatial coordinates, the specific vertices involved, and the topological characterisation of the artefact are all discarded. The diffusion model re-conditioned on these prompts cannot recover the lost spatial information, and the correction it applies is therefore diffuse rather than targeted—affecting the global 2D generation distribution rather than the specific 3D vertices where the hallucination exists. Theoretically, this means that Hallo3D operates with a feedback channel of minimal spatial information capacity, insufficient to drive precise 3D geometric correction.</w:t>
      </w:r>
    </w:p>
    <w:p>
      <w:pPr>
        <w:pStyle w:val="BodyText"/>
      </w:pPr>
      <w:r>
        <w:t xml:space="preserve">The research gap, stated theoretically, is therefore: the optimisation objective for 3D generation lacks a geometric energy term</w:t>
      </w:r>
      <w:r>
        <w:t xml:space="preserve"> </w:t>
      </w:r>
      <m:oMath>
        <m:sSub>
          <m:e>
            <m:r>
              <m:t>E</m:t>
            </m:r>
          </m:e>
          <m:sub>
            <m:r>
              <m:rPr>
                <m:nor/>
                <m:sty m:val="p"/>
              </m:rPr>
              <m:t>geo</m:t>
            </m:r>
          </m:sub>
        </m:sSub>
      </m:oMath>
      <w:r>
        <w:t xml:space="preserve"> </w:t>
      </w:r>
      <w:r>
        <w:t xml:space="preserve">defined directly on the mesh’s topological and spectral properties, and existing detection methods do not produce spatially localised gradient signals in 3D vertex space. The extension required must (a) define such a geometric energy term grounded in spectral graph theory and algebraic topology, (b) localise its application to specific vertices through a spatial grounding mechanism, and (c) integrate this localised energy directly into the 3D optimisation loop—without any intermediate conversion to natural language.</w:t>
      </w:r>
    </w:p>
    <w:bookmarkEnd w:id="22"/>
    <w:bookmarkStart w:id="23" w:name="rationale-for-the-extension"/>
    <w:p>
      <w:pPr>
        <w:pStyle w:val="Heading2"/>
      </w:pPr>
      <w:r>
        <w:t xml:space="preserve">3.4 Rationale for the Extension</w:t>
      </w:r>
    </w:p>
    <w:p>
      <w:pPr>
        <w:pStyle w:val="FirstParagraph"/>
      </w:pPr>
      <w:r>
        <w:t xml:space="preserve">The rationale for the AGD extension follows directly from the theoretical diagnosis of the research gap. Each component of the extension is a principled theoretical response to a specific identified deficiency, rather than a heuristic modification to an existing pipeline.</w:t>
      </w:r>
    </w:p>
    <w:p>
      <w:pPr>
        <w:pStyle w:val="BodyText"/>
      </w:pPr>
      <w:r>
        <w:t xml:space="preserve">The choice of spectral graph theory as the primary analytical framework for hallucination detection is motivated by three theoretical properties. First, the Laplacian spectrum is a complete descriptor of the mesh’s connectivity structure: all topological and geometric irregularities that manifest as connectivity anomalies—spikes, disconnected components, non-manifold patches—are encoded in the eigenvalue distribution and can be extracted without reference to the mesh’s 2D rendering. This makes the spectral approach detection-complete with respect to connectivity-based hallucinations, in contrast to image-based detection methods that can only observe hallucinations that are visible in the rendered views. Second, the key spectral quantities—eigenvalue variance and the Fiedler value—are computable from the Laplacian’s trace identities in linear time without full eigendecomposition, making them computationally tractable even for meshes with hundreds of thousands of vertices. Third, these spectral quantities have direct geometric interpretations (as detailed in Section 3.2) that provide principled thresholds for hallucination severity scoring.</w:t>
      </w:r>
    </w:p>
    <w:p>
      <w:pPr>
        <w:pStyle w:val="BodyText"/>
      </w:pPr>
      <w:r>
        <w:t xml:space="preserve">The choice of algebraic topology (Euler characteristic, genus, Betti numbers) as a complementary framework is motivated by the fact that spectral analysis encodes local connectivity irregularity but not global topological structure. A mesh with uniform vertex connectivity but multiple disconnected components would have moderate eigenvalue variance but</w:t>
      </w:r>
      <w:r>
        <w:t xml:space="preserve"> </w:t>
      </w:r>
      <m:oMath>
        <m:sSub>
          <m:e>
            <m:r>
              <m:t>β</m:t>
            </m:r>
          </m:e>
          <m:sub>
            <m:r>
              <m:t>0</m:t>
            </m:r>
          </m:sub>
        </m:sSub>
        <m:r>
          <m:rPr>
            <m:sty m:val="p"/>
          </m:rPr>
          <m:t>&gt;</m:t>
        </m:r>
        <m:r>
          <m:t>1</m:t>
        </m:r>
      </m:oMath>
      <w:r>
        <w:t xml:space="preserve"> </w:t>
      </w:r>
      <w:r>
        <w:t xml:space="preserve">and a Fiedler value of exactly zero—a configuration that spectral variance alone would underdiagnose. The Euler characteristic and genus provide global topological invariants that capture structural hallucinations at the macro-scale, complementing the micro-scale sensitivity of spectral analysis.</w:t>
      </w:r>
    </w:p>
    <w:p>
      <w:pPr>
        <w:pStyle w:val="BodyText"/>
      </w:pPr>
      <w:r>
        <w:t xml:space="preserve">The choice of a graph-convolutional adversarial critic is motivated by the need for spatially localised anomaly scores at the vertex level. Unlike the discriminator’s global topological and spectral scores, which characterise the mesh as a whole, the GCN critic produces a per-vertex score that identifies the specific spatial regions of the mesh containing anomalous geometry. This vertex-level localisation is theoretically essential for the geometric grounding step: without knowing which vertices are anomalous, the grounding module cannot construct a spatially precise weight map, and the refinement loop would be forced to smooth the entire mesh rather than the hallucinated regions specifically.</w:t>
      </w:r>
    </w:p>
    <w:p>
      <w:pPr>
        <w:pStyle w:val="BodyText"/>
      </w:pPr>
      <w:r>
        <w:t xml:space="preserve">The choice of self-distillation as the refinement framework is motivated by the need for a theoretically grounded anchor that prevents over-smoothing. Pure Laplacian smoothing, applied without constraint, converges to a degenerate flat or spherical mesh—it eliminates geometric detail indiscriminately. The distillation anchor term</w:t>
      </w:r>
      <w:r>
        <w:t xml:space="preserve"> </w:t>
      </w:r>
      <m:oMath>
        <m:r>
          <m:t>D</m:t>
        </m:r>
        <m:r>
          <m:rPr>
            <m:sty m:val="p"/>
          </m:rPr>
          <m:t>=</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r>
          <m:rPr>
            <m:sty m:val="p"/>
          </m:rPr>
          <m:t>∥</m:t>
        </m:r>
      </m:oMath>
      <w:r>
        <w:t xml:space="preserve"> </w:t>
      </w:r>
      <w:r>
        <w:t xml:space="preserve">introduces a theoretically principled regularisation that preserves the original mesh’s coarse structure while allowing localised correction in high-weight regions. The combined energy</w:t>
      </w:r>
      <w:r>
        <w:t xml:space="preserve"> </w:t>
      </w:r>
      <m:oMath>
        <m:r>
          <m:t>E</m:t>
        </m:r>
        <m:r>
          <m:rPr>
            <m:sty m:val="p"/>
          </m:rPr>
          <m:t>(</m:t>
        </m:r>
        <m:r>
          <m:t>x</m:t>
        </m:r>
        <m:r>
          <m:rPr>
            <m:sty m:val="p"/>
          </m:rPr>
          <m:t>)</m:t>
        </m:r>
        <m:r>
          <m:rPr>
            <m:sty m:val="p"/>
          </m:rPr>
          <m:t>=</m:t>
        </m:r>
        <m:r>
          <m:t>λ</m:t>
        </m:r>
        <m:r>
          <m:rPr>
            <m:sty m:val="p"/>
          </m:rPr>
          <m:t>⋅</m:t>
        </m:r>
        <m:sSub>
          <m:e>
            <m:r>
              <m:t>L</m:t>
            </m:r>
          </m:e>
          <m:sub>
            <m:r>
              <m:rPr>
                <m:nor/>
                <m:sty m:val="p"/>
              </m:rPr>
              <m:t>geo</m:t>
            </m:r>
          </m:sub>
        </m:sSub>
        <m:r>
          <m:rPr>
            <m:sty m:val="p"/>
          </m:rPr>
          <m:t>+</m:t>
        </m:r>
        <m:r>
          <m:rPr>
            <m:sty m:val="p"/>
          </m:rPr>
          <m:t>(</m:t>
        </m:r>
        <m:r>
          <m:t>1</m:t>
        </m:r>
        <m:r>
          <m:rPr>
            <m:sty m:val="p"/>
          </m:rPr>
          <m:t>−</m:t>
        </m:r>
        <m:r>
          <m:t>λ</m:t>
        </m:r>
        <m:r>
          <m:rPr>
            <m:sty m:val="p"/>
          </m:rPr>
          <m:t>)</m:t>
        </m:r>
        <m:r>
          <m:rPr>
            <m:sty m:val="p"/>
          </m:rPr>
          <m:t>⋅</m:t>
        </m:r>
        <m:r>
          <m:t>D</m:t>
        </m:r>
      </m:oMath>
      <w:r>
        <w:t xml:space="preserve"> </w:t>
      </w:r>
      <w:r>
        <w:t xml:space="preserve">with spatially varying weights</w:t>
      </w:r>
      <w:r>
        <w:t xml:space="preserve"> </w:t>
      </w:r>
      <m:oMath>
        <m:sSub>
          <m:e>
            <m:r>
              <m:t>w</m:t>
            </m:r>
          </m:e>
          <m:sub>
            <m:r>
              <m:t>i</m:t>
            </m:r>
          </m:sub>
        </m:sSub>
      </m:oMath>
      <w:r>
        <w:t xml:space="preserve"> </w:t>
      </w:r>
      <w:r>
        <w:t xml:space="preserve">ensures that correction is both selective (applied only where</w:t>
      </w:r>
      <w:r>
        <w:t xml:space="preserve"> </w:t>
      </w:r>
      <m:oMath>
        <m:sSub>
          <m:e>
            <m:r>
              <m:t>w</m:t>
            </m:r>
          </m:e>
          <m:sub>
            <m:r>
              <m:t>i</m:t>
            </m:r>
          </m:sub>
        </m:sSub>
      </m:oMath>
      <w:r>
        <w:t xml:space="preserve"> </w:t>
      </w:r>
      <w:r>
        <w:t xml:space="preserve">is high) and bounded (the anchor term prevents the mesh from drifting arbitrarily far from the original in low-weight regions).</w:t>
      </w:r>
    </w:p>
    <w:p>
      <w:pPr>
        <w:pStyle w:val="BodyText"/>
      </w:pPr>
      <w:r>
        <w:rPr>
          <w:bCs/>
          <w:b/>
        </w:rPr>
        <w:t xml:space="preserve">[IMAGE PLACEHOLDER FOR FIGURE 3.3]</w:t>
      </w:r>
      <w:r>
        <w:t xml:space="preserve"> </w:t>
      </w:r>
      <w:r>
        <w:rPr>
          <w:iCs/>
          <w:i/>
        </w:rPr>
        <w:t xml:space="preserve">Suggested Visual: A 3D render demonstrating the Spatial Grounding concept. Show a base mesh side-by-side with a heat-map overlay, where</w:t>
      </w:r>
      <w:r>
        <w:rPr>
          <w:iCs/>
          <w:i/>
        </w:rPr>
        <w:t xml:space="preserve"> </w:t>
      </w:r>
      <w:r>
        <w:rPr>
          <w:iCs/>
          <w:i/>
        </w:rPr>
        <w:t xml:space="preserve">“</w:t>
      </w:r>
      <w:r>
        <w:rPr>
          <w:iCs/>
          <w:i/>
        </w:rPr>
        <w:t xml:space="preserve">hot</w:t>
      </w:r>
      <w:r>
        <w:rPr>
          <w:iCs/>
          <w:i/>
        </w:rPr>
        <w:t xml:space="preserve">”</w:t>
      </w:r>
      <w:r>
        <w:rPr>
          <w:iCs/>
          <w:i/>
        </w:rPr>
        <w:t xml:space="preserve"> </w:t>
      </w:r>
      <w:r>
        <w:rPr>
          <w:iCs/>
          <w:i/>
        </w:rPr>
        <w:t xml:space="preserve">colors represent high vertex weight values (</w:t>
      </w:r>
      <m:oMath>
        <m:sSub>
          <m:e>
            <m:r>
              <m:t>w</m:t>
            </m:r>
          </m:e>
          <m:sub>
            <m:r>
              <m:t>i</m:t>
            </m:r>
          </m:sub>
        </m:sSub>
        <m:r>
          <m:rPr>
            <m:sty m:val="p"/>
          </m:rPr>
          <m:t>≈</m:t>
        </m:r>
        <m:sSub>
          <m:e>
            <m:r>
              <m:t>w</m:t>
            </m:r>
          </m:e>
          <m:sub>
            <m:r>
              <m:rPr>
                <m:nor/>
                <m:sty m:val="p"/>
              </m:rPr>
              <m:t>max</m:t>
            </m:r>
          </m:sub>
        </m:sSub>
      </m:oMath>
      <w:r>
        <w:rPr>
          <w:iCs/>
          <w:i/>
        </w:rPr>
        <w:t xml:space="preserve">) derived from the GCN critic and LMM projections, pinpointing the exact location of a hallucination (like a Janus face).</w:t>
      </w:r>
    </w:p>
    <w:bookmarkEnd w:id="23"/>
    <w:bookmarkStart w:id="24" w:name="X789da1ba8947d1d24cd9eebd83853715b133fea"/>
    <w:p>
      <w:pPr>
        <w:pStyle w:val="Heading2"/>
      </w:pPr>
      <w:r>
        <w:t xml:space="preserve">3.5 Theoretical Foundations and Inspiration for the Extension</w:t>
      </w:r>
    </w:p>
    <w:p>
      <w:pPr>
        <w:pStyle w:val="FirstParagraph"/>
      </w:pPr>
      <w:r>
        <w:t xml:space="preserve">The AGD extension draws its theoretical inspiration from five distinct bodies of research, each contributing a specific mathematical tool or conceptual framework that is instantiated in one or more pipeline stages.</w:t>
      </w:r>
    </w:p>
    <w:p>
      <w:pPr>
        <w:pStyle w:val="BodyText"/>
      </w:pPr>
      <w:r>
        <w:t xml:space="preserve">The first theoretical inspiration is the spectral theory of graph Laplacians, as developed in the foundational work of Chung [Spectral Graph Theory, 1997] and subsequently applied to mesh processing in the computational geometry community. The key insight from this body of work, directly adopted by the AGD framework, is that the Laplacian operator on a mesh graph provides a frequency decomposition of the mesh’s geometric signals: low-frequency Laplacian components correspond to global shape features (overall curvature and connectivity), while high-frequency components correspond to local detail (fine geometry and noise). Hallucinations—particularly spikes, blobs, and connectivity irregularities—manifest predominantly as high-frequency anomalies in the Laplacian spectrum. The AGD discriminator exploits this by computing the variance of the eigenvalue spectrum as a measure of spectral spread: a wide, irregular spectrum indicates the presence of high-frequency hallucination-type anomalies, while a narrow, regular spectrum indicates a geometrically clean mesh.</w:t>
      </w:r>
    </w:p>
    <w:p>
      <w:pPr>
        <w:pStyle w:val="BodyText"/>
      </w:pPr>
      <w:r>
        <w:t xml:space="preserve">The second theoretical inspiration is algebraic topology, specifically the theory of simplicial homology as it applies to triangulated surfaces. The Betti numbers</w:t>
      </w:r>
      <w:r>
        <w:t xml:space="preserve"> </w:t>
      </w:r>
      <m:oMath>
        <m:sSub>
          <m:e>
            <m:r>
              <m:t>β</m:t>
            </m:r>
          </m:e>
          <m:sub>
            <m:r>
              <m:t>0</m:t>
            </m:r>
          </m:sub>
        </m:sSub>
        <m:r>
          <m:rPr>
            <m:sty m:val="p"/>
          </m:rPr>
          <m:t>,</m:t>
        </m:r>
        <m:sSub>
          <m:e>
            <m:r>
              <m:t>β</m:t>
            </m:r>
          </m:e>
          <m:sub>
            <m:r>
              <m:t>1</m:t>
            </m:r>
          </m:sub>
        </m:sSub>
        <m:r>
          <m:rPr>
            <m:sty m:val="p"/>
          </m:rPr>
          <m:t>,</m:t>
        </m:r>
        <m:sSub>
          <m:e>
            <m:r>
              <m:t>β</m:t>
            </m:r>
          </m:e>
          <m:sub>
            <m:r>
              <m:t>2</m:t>
            </m:r>
          </m:sub>
        </m:sSub>
      </m:oMath>
      <w:r>
        <w:t xml:space="preserve"> </w:t>
      </w:r>
      <w:r>
        <w:t xml:space="preserve">of a simplicial complex (triangulated mesh) are computable from the ranks of the homology groups of the complex and provide topological invariants that directly characterise the presence of hallucination-type structural errors. The AGD discriminator instantiates this theory by computing the Euler characteristic</w:t>
      </w:r>
      <w:r>
        <w:t xml:space="preserve"> </w:t>
      </w:r>
      <m:oMath>
        <m:r>
          <m:t>χ</m:t>
        </m:r>
        <m:r>
          <m:rPr>
            <m:sty m:val="p"/>
          </m:rPr>
          <m:t>=</m:t>
        </m:r>
        <m:r>
          <m:t>V</m:t>
        </m:r>
        <m:r>
          <m:rPr>
            <m:sty m:val="p"/>
          </m:rPr>
          <m:t>−</m:t>
        </m:r>
        <m:r>
          <m:t>E</m:t>
        </m:r>
        <m:r>
          <m:rPr>
            <m:sty m:val="p"/>
          </m:rPr>
          <m:t>+</m:t>
        </m:r>
        <m:r>
          <m:t>F</m:t>
        </m:r>
      </m:oMath>
      <w:r>
        <w:t xml:space="preserve"> </w:t>
      </w:r>
      <w:r>
        <w:t xml:space="preserve">(which equals</w:t>
      </w:r>
      <w:r>
        <w:t xml:space="preserve"> </w:t>
      </w:r>
      <m:oMath>
        <m:r>
          <m:t>2</m:t>
        </m:r>
        <m:r>
          <m:rPr>
            <m:sty m:val="p"/>
          </m:rPr>
          <m:t>−</m:t>
        </m:r>
        <m:r>
          <m:t>2</m:t>
        </m:r>
        <m:r>
          <m:t>g</m:t>
        </m:r>
        <m:r>
          <m:rPr>
            <m:sty m:val="p"/>
          </m:rPr>
          <m:t>+</m:t>
        </m:r>
        <m:sSub>
          <m:e>
            <m:r>
              <m:t>β</m:t>
            </m:r>
          </m:e>
          <m:sub>
            <m:r>
              <m:t>0</m:t>
            </m:r>
          </m:sub>
        </m:sSub>
        <m:r>
          <m:rPr>
            <m:sty m:val="p"/>
          </m:rPr>
          <m:t>−</m:t>
        </m:r>
        <m:r>
          <m:t>1</m:t>
        </m:r>
      </m:oMath>
      <w:r>
        <w:t xml:space="preserve"> </w:t>
      </w:r>
      <w:r>
        <w:t xml:space="preserve">for a mesh with</w:t>
      </w:r>
      <w:r>
        <w:t xml:space="preserve"> </w:t>
      </w:r>
      <m:oMath>
        <m:sSub>
          <m:e>
            <m:r>
              <m:t>β</m:t>
            </m:r>
          </m:e>
          <m:sub>
            <m:r>
              <m:t>0</m:t>
            </m:r>
          </m:sub>
        </m:sSub>
      </m:oMath>
      <w:r>
        <w:t xml:space="preserve"> </w:t>
      </w:r>
      <w:r>
        <w:t xml:space="preserve">components) and using it to derive the genus</w:t>
      </w:r>
      <w:r>
        <w:t xml:space="preserve"> </w:t>
      </w:r>
      <m:oMath>
        <m:r>
          <m:t>g</m:t>
        </m:r>
      </m:oMath>
      <w:r>
        <w:t xml:space="preserve"> </w:t>
      </w:r>
      <w:r>
        <w:t xml:space="preserve">and connected component count</w:t>
      </w:r>
      <w:r>
        <w:t xml:space="preserve"> </w:t>
      </w:r>
      <m:oMath>
        <m:sSub>
          <m:e>
            <m:r>
              <m:t>β</m:t>
            </m:r>
          </m:e>
          <m:sub>
            <m:r>
              <m:t>0</m:t>
            </m:r>
          </m:sub>
        </m:sSub>
      </m:oMath>
      <w:r>
        <w:t xml:space="preserve"> </w:t>
      </w:r>
      <w:r>
        <w:t xml:space="preserve">as penalty terms in the composite hallucination score. The theoretical guarantee provided by this approach is that these topological invariants are insensitive to the specific geometry of the mesh—they characterise its shape type, not its particular embedding—making the hallucination score robust to variations in scale, orientation, and surface detail.</w:t>
      </w:r>
    </w:p>
    <w:p>
      <w:pPr>
        <w:pStyle w:val="BodyText"/>
      </w:pPr>
      <w:r>
        <w:t xml:space="preserve">The third theoretical inspiration is the field of Graph Neural Networks (GNNs), specifically the Graph Convolutional Network formulation of Kipf and Welling (2017). The GCN propagation rule:</w:t>
      </w:r>
    </w:p>
    <w:p>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t>σ</m:t>
          </m:r>
          <m:r>
            <m:rPr>
              <m:sty m:val="p"/>
            </m:rPr>
            <m:t>(</m:t>
          </m:r>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r>
            <m:rPr>
              <m:sty m:val="p"/>
            </m:rPr>
            <m:t>)</m:t>
          </m:r>
        </m:oMath>
      </m:oMathPara>
    </w:p>
    <w:p>
      <w:pPr>
        <w:pStyle w:val="FirstParagraph"/>
      </w:pPr>
      <w:r>
        <w:t xml:space="preserve">where</w:t>
      </w:r>
      <w:r>
        <w:t xml:space="preserve"> </w:t>
      </w:r>
      <m:oMath>
        <m:acc>
          <m:accPr>
            <m:chr m:val="̃"/>
          </m:accPr>
          <m:e>
            <m:r>
              <m:t>A</m:t>
            </m:r>
          </m:e>
        </m:acc>
        <m:r>
          <m:rPr>
            <m:sty m:val="p"/>
          </m:rPr>
          <m:t>=</m:t>
        </m:r>
        <m:r>
          <m:t>A</m:t>
        </m:r>
        <m:r>
          <m:rPr>
            <m:sty m:val="p"/>
          </m:rPr>
          <m:t>+</m:t>
        </m:r>
        <m:r>
          <m:t>I</m:t>
        </m:r>
      </m:oMath>
      <w:r>
        <w:t xml:space="preserve"> </w:t>
      </w:r>
      <w:r>
        <w:t xml:space="preserve">is the adjacency matrix with self-loops and</w:t>
      </w:r>
      <w:r>
        <w:t xml:space="preserve"> </w:t>
      </w:r>
      <m:oMath>
        <m:acc>
          <m:accPr>
            <m:chr m:val="̃"/>
          </m:accPr>
          <m:e>
            <m:r>
              <m:t>D</m:t>
            </m:r>
          </m:e>
        </m:acc>
      </m:oMath>
      <w:r>
        <w:t xml:space="preserve"> </w:t>
      </w:r>
      <w:r>
        <w:t xml:space="preserve">is its degree matrix, provides a theoretically principled mechanism for aggregating features from a vertex’s neighbourhood in a way that is equivariant to graph isomorphisms. This equivariance property is crucial for the AGD critic: it ensures that the critic’s anomaly score for a vertex depends on its geometric neighbourhood properties (degree, edge lengths, local topology) rather than on its specific index or position in the mesh, making the scoring function applicable to meshes of arbitrary topology without requiring alignment or registration. The GCN critic in the AGD framework uses two GCNConv layers with a ReLU non-linearity to map vertex features (degree, mean edge length) to per-vertex anomaly scores, providing the spatial localisation required for geometric grounding.</w:t>
      </w:r>
    </w:p>
    <w:p>
      <w:pPr>
        <w:pStyle w:val="BodyText"/>
      </w:pPr>
      <w:r>
        <w:t xml:space="preserve">The fourth theoretical inspiration is the theory of energy minimisation in geometric optimisation, specifically the Laplacian mesh editing framework of Sorkine et al. (2004). This framework treats mesh deformation as the minimisation of a quadratic energy</w:t>
      </w:r>
      <w:r>
        <w:t xml:space="preserve"> </w:t>
      </w:r>
      <m:oMath>
        <m:r>
          <m:t>E</m:t>
        </m:r>
        <m:r>
          <m:rPr>
            <m:sty m:val="p"/>
          </m:rPr>
          <m:t>=</m:t>
        </m:r>
        <m:r>
          <m:rPr>
            <m:sty m:val="p"/>
          </m:rPr>
          <m:t>∥</m:t>
        </m:r>
        <m:r>
          <m:t>L</m:t>
        </m:r>
        <m:r>
          <m:t>v</m:t>
        </m:r>
        <m:sSup>
          <m:e>
            <m:r>
              <m:rPr>
                <m:sty m:val="p"/>
              </m:rPr>
              <m:t>∥</m:t>
            </m:r>
          </m:e>
          <m:sup>
            <m:r>
              <m:t>2</m:t>
            </m:r>
          </m:sup>
        </m:sSup>
      </m:oMath>
      <w:r>
        <w:t xml:space="preserve"> </w:t>
      </w:r>
      <w:r>
        <w:t xml:space="preserve">subject to position constraints, where</w:t>
      </w:r>
      <w:r>
        <w:t xml:space="preserve"> </w:t>
      </w:r>
      <m:oMath>
        <m:r>
          <m:t>L</m:t>
        </m:r>
      </m:oMath>
      <w:r>
        <w:t xml:space="preserve"> </w:t>
      </w:r>
      <w:r>
        <w:t xml:space="preserve">is the Laplacian operator and</w:t>
      </w:r>
      <w:r>
        <w:t xml:space="preserve"> </w:t>
      </w:r>
      <m:oMath>
        <m:r>
          <m:t>v</m:t>
        </m:r>
      </m:oMath>
      <w:r>
        <w:t xml:space="preserve"> </w:t>
      </w:r>
      <w:r>
        <w:t xml:space="preserve">is the vector of vertex positions. The AGD refinement loop extends this framework in two important ways: first, by adding the distillation anchor term</w:t>
      </w:r>
      <w:r>
        <w:t xml:space="preserve"> </w:t>
      </w:r>
      <m:oMath>
        <m:r>
          <m:t>D</m:t>
        </m:r>
        <m:r>
          <m:rPr>
            <m:sty m:val="p"/>
          </m:rPr>
          <m:t>=</m:t>
        </m:r>
        <m:r>
          <m:rPr>
            <m:sty m:val="p"/>
          </m:rPr>
          <m:t>∥</m:t>
        </m:r>
        <m:r>
          <m:t>v</m:t>
        </m:r>
        <m:r>
          <m:rPr>
            <m:sty m:val="p"/>
          </m:rPr>
          <m:t>−</m:t>
        </m:r>
        <m:sSup>
          <m:e>
            <m:r>
              <m:t>v</m:t>
            </m:r>
          </m:e>
          <m:sup>
            <m:r>
              <m:rPr>
                <m:sty m:val="p"/>
              </m:rPr>
              <m:t>(</m:t>
            </m:r>
            <m:r>
              <m:t>0</m:t>
            </m:r>
            <m:r>
              <m:rPr>
                <m:sty m:val="p"/>
              </m:rPr>
              <m:t>)</m:t>
            </m:r>
          </m:sup>
        </m:sSup>
        <m:sSup>
          <m:e>
            <m:r>
              <m:rPr>
                <m:sty m:val="p"/>
              </m:rPr>
              <m:t>∥</m:t>
            </m:r>
          </m:e>
          <m:sup>
            <m:r>
              <m:t>2</m:t>
            </m:r>
          </m:sup>
        </m:sSup>
      </m:oMath>
      <w:r>
        <w:t xml:space="preserve"> </w:t>
      </w:r>
      <w:r>
        <w:t xml:space="preserve">that constrains the deformation to remain close to the original mesh; and second, by applying spatially varying weights</w:t>
      </w:r>
      <w:r>
        <w:t xml:space="preserve"> </w:t>
      </w:r>
      <m:oMath>
        <m:sSub>
          <m:e>
            <m:r>
              <m:t>w</m:t>
            </m:r>
          </m:e>
          <m:sub>
            <m:r>
              <m:t>i</m:t>
            </m:r>
          </m:sub>
        </m:sSub>
      </m:oMath>
      <w:r>
        <w:t xml:space="preserve"> </w:t>
      </w:r>
      <w:r>
        <w:t xml:space="preserve">that concentrate the deformation energy in the hallucinated regions identified by the critic and grounding modules. The resulting energy:</w:t>
      </w:r>
    </w:p>
    <w:p>
      <w:pPr>
        <w:pStyle w:val="BodyText"/>
      </w:pPr>
      <m:oMathPara>
        <m:oMathParaPr>
          <m:jc m:val="center"/>
        </m:oMathParaPr>
        <m:oMath>
          <m:r>
            <m:t>E</m:t>
          </m:r>
          <m:r>
            <m:rPr>
              <m:sty m:val="p"/>
            </m:rPr>
            <m:t>(</m:t>
          </m:r>
          <m:r>
            <m:t>x</m:t>
          </m:r>
          <m:r>
            <m:rPr>
              <m:sty m:val="p"/>
            </m:rPr>
            <m:t>)</m:t>
          </m:r>
          <m:r>
            <m:rPr>
              <m:sty m:val="p"/>
            </m:rPr>
            <m:t>=</m:t>
          </m:r>
          <m:r>
            <m:t>λ</m:t>
          </m:r>
          <m:r>
            <m:rPr>
              <m:sty m:val="p"/>
            </m:rPr>
            <m:t>∥</m:t>
          </m:r>
          <m:r>
            <m:t>L</m:t>
          </m:r>
          <m:r>
            <m:t>v</m:t>
          </m:r>
          <m:sSup>
            <m:e>
              <m:r>
                <m:rPr>
                  <m:sty m:val="p"/>
                </m:rPr>
                <m:t>∥</m:t>
              </m:r>
            </m:e>
            <m:sup>
              <m:r>
                <m:t>2</m:t>
              </m:r>
            </m:sup>
          </m:sSup>
          <m:r>
            <m:rPr>
              <m:sty m:val="p"/>
            </m:rPr>
            <m:t>+</m:t>
          </m:r>
          <m:r>
            <m:rPr>
              <m:sty m:val="p"/>
            </m:rPr>
            <m:t>(</m:t>
          </m:r>
          <m:r>
            <m:t>1</m:t>
          </m:r>
          <m:r>
            <m:rPr>
              <m:sty m:val="p"/>
            </m:rPr>
            <m:t>−</m:t>
          </m:r>
          <m:r>
            <m:t>λ</m:t>
          </m:r>
          <m:r>
            <m:rPr>
              <m:sty m:val="p"/>
            </m:rPr>
            <m:t>)</m:t>
          </m:r>
          <m:r>
            <m:rPr>
              <m:sty m:val="p"/>
            </m:rPr>
            <m:t>∥</m:t>
          </m:r>
          <m:r>
            <m:t>v</m:t>
          </m:r>
          <m:r>
            <m:rPr>
              <m:sty m:val="p"/>
            </m:rPr>
            <m:t>−</m:t>
          </m:r>
          <m:sSup>
            <m:e>
              <m:r>
                <m:t>v</m:t>
              </m:r>
            </m:e>
            <m:sup>
              <m:r>
                <m:rPr>
                  <m:sty m:val="p"/>
                </m:rPr>
                <m:t>(</m:t>
              </m:r>
              <m:r>
                <m:t>0</m:t>
              </m:r>
              <m:r>
                <m:rPr>
                  <m:sty m:val="p"/>
                </m:rPr>
                <m:t>)</m:t>
              </m:r>
            </m:sup>
          </m:sSup>
          <m:sSup>
            <m:e>
              <m:r>
                <m:rPr>
                  <m:sty m:val="p"/>
                </m:rPr>
                <m:t>∥</m:t>
              </m:r>
            </m:e>
            <m:sup>
              <m:r>
                <m:t>2</m:t>
              </m:r>
            </m:sup>
          </m:sSup>
        </m:oMath>
      </m:oMathPara>
    </w:p>
    <w:p>
      <w:pPr>
        <w:pStyle w:val="FirstParagraph"/>
      </w:pPr>
      <w:r>
        <w:t xml:space="preserve">with diagonal weight matrix</w:t>
      </w:r>
      <w:r>
        <w:t xml:space="preserve"> </w:t>
      </w:r>
      <m:oMath>
        <m:r>
          <m:t>W</m:t>
        </m:r>
      </m:oMath>
      <w:r>
        <w:t xml:space="preserve"> </w:t>
      </w:r>
      <w:r>
        <w:t xml:space="preserve">provides a theoretically grounded framework for targeted, bounded mesh correction.</w:t>
      </w:r>
    </w:p>
    <w:p>
      <w:pPr>
        <w:pStyle w:val="BodyText"/>
      </w:pPr>
      <w:r>
        <w:t xml:space="preserve">The fifth theoretical inspiration is the concept of adversarial feedback in iterative refinement systems, drawn from the GAN literature but applied here in a non-generative context. In the original GAN formulation, a discriminator provides a gradient signal that guides a generator toward higher-fidelity outputs. The AGD framework adopts the adversarial paradigm not for training a generative model but for driving a deterministic refinement loop: the critic (discriminator) produces a spatial anomaly signal that is used to weight the refinement energy, creating a feedback loop in which the optimiser’s updates are guided by the discriminator’s assessment of geometric quality. This is theoretically distinct from GAN training—the AGD critic does not engage in min-max optimisation with the mesh, but rather provides a fixed, pre-computed weight map for each refinement pass—but it shares the conceptual architecture of adversarial feedback: an external evaluator guides the refinement process toward a desirable target distribution (geometrically valid meshes).</w:t>
      </w:r>
    </w:p>
    <w:bookmarkEnd w:id="24"/>
    <w:bookmarkStart w:id="25" w:name="characteristics-of-the-extension"/>
    <w:p>
      <w:pPr>
        <w:pStyle w:val="Heading2"/>
      </w:pPr>
      <w:r>
        <w:t xml:space="preserve">3.6 Characteristics of the Extension</w:t>
      </w:r>
    </w:p>
    <w:p>
      <w:pPr>
        <w:pStyle w:val="FirstParagraph"/>
      </w:pPr>
      <w:r>
        <w:t xml:space="preserve">The AGD extension possesses a set of formal characteristics that follow from the theoretical foundations described above and distinguish it from prior approaches at a theoretical level.</w:t>
      </w:r>
    </w:p>
    <w:p>
      <w:pPr>
        <w:pStyle w:val="BodyText"/>
      </w:pPr>
      <w:r>
        <w:t xml:space="preserve">The first characteristic is geometry-completeness: the AGD framework’s hallucination detection operates directly on the 3D mesh’s topological and spectral structure, rather than on 2D rendered projections. This means that hallucinations that are occluded, located on the interior of the mesh, or too subtle to detect in 2D renderings remain detectable through spectral and topological analysis—as long as they manifest as connectivity anomalies (abnormal vertex degree, disconnected components, excessive genus) in the mesh graph. In contrast, image-based detection methods (including Hallo3D’s LMM inspection) are theoretically limited to hallucinations that are visible in at least one rendered view.</w:t>
      </w:r>
    </w:p>
    <w:p>
      <w:pPr>
        <w:pStyle w:val="BodyText"/>
      </w:pPr>
      <w:r>
        <w:t xml:space="preserve">The second characteristic is spatial precision: the grounding mechanism produces a vertex-level weight map</w:t>
      </w:r>
      <w:r>
        <w:t xml:space="preserve"> </w:t>
      </w:r>
      <m:oMath>
        <m:sSub>
          <m:e>
            <m:r>
              <m:t>w</m:t>
            </m:r>
          </m:e>
          <m:sub>
            <m:r>
              <m:t>i</m:t>
            </m:r>
          </m:sub>
        </m:sSub>
        <m:r>
          <m:rPr>
            <m:sty m:val="p"/>
          </m:rPr>
          <m:t>∈</m:t>
        </m:r>
        <m:r>
          <m:rPr>
            <m:sty m:val="p"/>
          </m:rPr>
          <m:t>[</m:t>
        </m:r>
        <m:sSub>
          <m:e>
            <m:r>
              <m:t>w</m:t>
            </m:r>
          </m:e>
          <m:sub>
            <m:r>
              <m:rPr>
                <m:nor/>
                <m:sty m:val="p"/>
              </m:rPr>
              <m:t>min</m:t>
            </m:r>
          </m:sub>
        </m:sSub>
        <m:r>
          <m:rPr>
            <m:sty m:val="p"/>
          </m:rPr>
          <m:t>,</m:t>
        </m:r>
        <m:sSub>
          <m:e>
            <m:r>
              <m:t>w</m:t>
            </m:r>
          </m:e>
          <m:sub>
            <m:r>
              <m:rPr>
                <m:nor/>
                <m:sty m:val="p"/>
              </m:rPr>
              <m:t>max</m:t>
            </m:r>
          </m:sub>
        </m:sSub>
        <m:r>
          <m:rPr>
            <m:sty m:val="p"/>
          </m:rPr>
          <m:t>]</m:t>
        </m:r>
      </m:oMath>
      <w:r>
        <w:t xml:space="preserve"> </w:t>
      </w:r>
      <w:r>
        <w:t xml:space="preserve">that assigns an explicit spatial weight to each vertex based on its critic score and the view-direction projection of the LMM severity scores. This weight map is used directly in the refinement energy as a multiplicative factor on the gradient update, ensuring that the magnitude of the correction applied to each vertex is proportional to the evidence that it belongs to a hallucinated region. Theoretically, this property guarantees that correctly formed vertices (</w:t>
      </w:r>
      <m:oMath>
        <m:sSub>
          <m:e>
            <m:r>
              <m:t>w</m:t>
            </m:r>
          </m:e>
          <m:sub>
            <m:r>
              <m:t>i</m:t>
            </m:r>
          </m:sub>
        </m:sSub>
        <m:r>
          <m:rPr>
            <m:sty m:val="p"/>
          </m:rPr>
          <m:t>≈</m:t>
        </m:r>
        <m:sSub>
          <m:e>
            <m:r>
              <m:t>w</m:t>
            </m:r>
          </m:e>
          <m:sub>
            <m:r>
              <m:rPr>
                <m:nor/>
                <m:sty m:val="p"/>
              </m:rPr>
              <m:t>min</m:t>
            </m:r>
          </m:sub>
        </m:sSub>
      </m:oMath>
      <w:r>
        <w:t xml:space="preserve">) receive negligible correction while maximally anomalous vertices (</w:t>
      </w:r>
      <m:oMath>
        <m:sSub>
          <m:e>
            <m:r>
              <m:t>w</m:t>
            </m:r>
          </m:e>
          <m:sub>
            <m:r>
              <m:t>i</m:t>
            </m:r>
          </m:sub>
        </m:sSub>
        <m:r>
          <m:rPr>
            <m:sty m:val="p"/>
          </m:rPr>
          <m:t>≈</m:t>
        </m:r>
        <m:sSub>
          <m:e>
            <m:r>
              <m:t>w</m:t>
            </m:r>
          </m:e>
          <m:sub>
            <m:r>
              <m:rPr>
                <m:nor/>
                <m:sty m:val="p"/>
              </m:rPr>
              <m:t>max</m:t>
            </m:r>
          </m:sub>
        </m:sSub>
      </m:oMath>
      <w:r>
        <w:t xml:space="preserve">) receive the full refinement gradient—a spatial selectivity that is absent from all prior approaches, which either apply correction globally (score-space debiasing) or apply it diffusely through re-conditioning of the 2D diffusion model (Hallo3D).</w:t>
      </w:r>
    </w:p>
    <w:p>
      <w:pPr>
        <w:pStyle w:val="BodyText"/>
      </w:pPr>
      <w:r>
        <w:t xml:space="preserve">The third characteristic is theoretical boundedness: the distillation anchor term</w:t>
      </w:r>
      <w:r>
        <w:t xml:space="preserve"> </w:t>
      </w:r>
      <m:oMath>
        <m:r>
          <m:t>D</m:t>
        </m:r>
      </m:oMath>
      <w:r>
        <w:t xml:space="preserve"> </w:t>
      </w:r>
      <w:r>
        <w:t xml:space="preserve">prevents the refinement from producing degenerate geometry. Without the anchor, repeated Laplacian smoothing converges to a mean position of all vertex neighbourhoods, which for irregular meshes produces a progressively flattened, featureless surface. The anchor term</w:t>
      </w:r>
      <w:r>
        <w:t xml:space="preserve"> </w:t>
      </w:r>
      <m:oMath>
        <m:r>
          <m:t>D</m:t>
        </m:r>
        <m:r>
          <m:rPr>
            <m:sty m:val="p"/>
          </m:rPr>
          <m:t>=</m:t>
        </m:r>
        <m:r>
          <m:rPr>
            <m:sty m:val="p"/>
          </m:rPr>
          <m:t>∑</m:t>
        </m:r>
        <m:r>
          <m:rPr>
            <m:sty m:val="p"/>
          </m:rPr>
          <m:t>∥</m:t>
        </m:r>
        <m:sSub>
          <m:e>
            <m:r>
              <m:t>v</m:t>
            </m:r>
          </m:e>
          <m:sub>
            <m:r>
              <m:t>i</m:t>
            </m:r>
          </m:sub>
        </m:sSub>
        <m:r>
          <m:rPr>
            <m:sty m:val="p"/>
          </m:rPr>
          <m:t>−</m:t>
        </m:r>
        <m:sSubSup>
          <m:e>
            <m:r>
              <m:t>v</m:t>
            </m:r>
          </m:e>
          <m:sub>
            <m:r>
              <m:t>i</m:t>
            </m:r>
          </m:sub>
          <m:sup>
            <m:r>
              <m:rPr>
                <m:sty m:val="p"/>
              </m:rPr>
              <m:t>(</m:t>
            </m:r>
            <m:r>
              <m:t>0</m:t>
            </m:r>
            <m:r>
              <m:rPr>
                <m:sty m:val="p"/>
              </m:rPr>
              <m:t>)</m:t>
            </m:r>
          </m:sup>
        </m:sSubSup>
        <m:r>
          <m:rPr>
            <m:sty m:val="p"/>
          </m:rPr>
          <m:t>∥</m:t>
        </m:r>
      </m:oMath>
      <w:r>
        <w:t xml:space="preserve"> </w:t>
      </w:r>
      <w:r>
        <w:t xml:space="preserve">introduces a restoring force toward the original vertex positions that is theoretically equivalent to an L2 regularisation in the optimisation. Combined with the</w:t>
      </w:r>
      <w:r>
        <w:t xml:space="preserve"> </w:t>
      </w:r>
      <m:oMath>
        <m:r>
          <m:t>λ</m:t>
        </m:r>
        <m:r>
          <m:rPr>
            <m:sty m:val="p"/>
          </m:rPr>
          <m:t>∈</m:t>
        </m:r>
        <m:r>
          <m:rPr>
            <m:sty m:val="p"/>
          </m:rPr>
          <m:t>[</m:t>
        </m:r>
        <m:r>
          <m:t>0</m:t>
        </m:r>
        <m:r>
          <m:rPr>
            <m:sty m:val="p"/>
          </m:rPr>
          <m:t>,</m:t>
        </m:r>
        <m:r>
          <m:t>1</m:t>
        </m:r>
        <m:r>
          <m:rPr>
            <m:sty m:val="p"/>
          </m:rPr>
          <m:t>]</m:t>
        </m:r>
      </m:oMath>
      <w:r>
        <w:t xml:space="preserve"> </w:t>
      </w:r>
      <w:r>
        <w:t xml:space="preserve">trade-off parameter, this provides a principled mechanism for controlling the balance between smoothness and geometric fidelity.</w:t>
      </w:r>
    </w:p>
    <w:p>
      <w:pPr>
        <w:pStyle w:val="BodyText"/>
      </w:pPr>
      <w:r>
        <w:t xml:space="preserve">The fourth characteristic is complementarity between detection signals: the AGD framework combines two theoretically distinct anomaly signals—the global topological and spectral scores from the discriminator, and the local per-vertex scores from the critic—into a unified weight map. This complementarity is theoretically important because the two signal types have different sensitivities: the discriminator is sensitive to global structural hallucinations (multiple components, high genus, spectral irregularity) that the critic’s local neighbourhood analysis might miss, while the critic is sensitive to local anomalies (individual high-degree vertices, locally abnormal edge lengths) that may not produce detectable changes in global spectral statistics. By combining both signals, the grounding module achieves broader hallucination coverage than either signal alone.</w:t>
      </w:r>
    </w:p>
    <w:p>
      <w:pPr>
        <w:pStyle w:val="BodyText"/>
      </w:pPr>
      <w:r>
        <w:t xml:space="preserve">The fifth characteristic is scalability with respect to view density: the Fibonacci-sphere camera sampling strategy distributes</w:t>
      </w:r>
      <w:r>
        <w:t xml:space="preserve"> </w:t>
      </w:r>
      <m:oMath>
        <m:r>
          <m:t>N</m:t>
        </m:r>
      </m:oMath>
      <w:r>
        <w:t xml:space="preserve"> </w:t>
      </w:r>
      <w:r>
        <w:t xml:space="preserve">views uniformly on the sphere without pole clustering, ensuring that the angular sampling density is approximately constant for any</w:t>
      </w:r>
      <w:r>
        <w:t xml:space="preserve"> </w:t>
      </w:r>
      <m:oMath>
        <m:r>
          <m:t>N</m:t>
        </m:r>
      </m:oMath>
      <w:r>
        <w:t xml:space="preserve">. This property, which follows from the mathematical properties of the golden-angle spiral, means that the probability of detecting a spatially localised hallucination increases monotonically with</w:t>
      </w:r>
      <w:r>
        <w:t xml:space="preserve"> </w:t>
      </w:r>
      <m:oMath>
        <m:r>
          <m:t>N</m:t>
        </m:r>
      </m:oMath>
      <w:r>
        <w:t xml:space="preserve">—providing a theoretical guarantee that hallucination detection improves as more views are rendered, without requiring any modification to the detection or grounding algorithms.</w:t>
      </w:r>
    </w:p>
    <w:bookmarkEnd w:id="25"/>
    <w:bookmarkStart w:id="26" w:name="X991484e6506ebb685d8583af0d22ccbc7c2a314"/>
    <w:p>
      <w:pPr>
        <w:pStyle w:val="Heading2"/>
      </w:pPr>
      <w:r>
        <w:t xml:space="preserve">3.7 Bridging the Research Gap with the Extension</w:t>
      </w:r>
    </w:p>
    <w:p>
      <w:pPr>
        <w:pStyle w:val="FirstParagraph"/>
      </w:pPr>
      <w:r>
        <w:t xml:space="preserve">The theoretical research gap identified in Section 3.3 had three components: the absence of a geometric energy term in the optimisation objective, the absence of spatially localised gradient signals in 3D vertex space, and the reliance on a natural-language feedback channel with insufficient spatial information capacity. The AGD extension addresses each component with a specific theoretical mechanism.</w:t>
      </w:r>
    </w:p>
    <w:p>
      <w:pPr>
        <w:pStyle w:val="BodyText"/>
      </w:pPr>
      <w:r>
        <w:t xml:space="preserve">The first component—the absence of a geometric energy term—is addressed by the composite discriminator, which defines a geometric energy function</w:t>
      </w:r>
      <w:r>
        <w:t xml:space="preserve"> </w:t>
      </w:r>
      <m:oMath>
        <m:sSub>
          <m:e>
            <m:r>
              <m:t>E</m:t>
            </m:r>
          </m:e>
          <m:sub>
            <m:r>
              <m:rPr>
                <m:nor/>
                <m:sty m:val="p"/>
              </m:rPr>
              <m:t>discriminator</m:t>
            </m:r>
          </m:sub>
        </m:sSub>
      </m:oMath>
      <w:r>
        <w:t xml:space="preserve"> </w:t>
      </w:r>
      <w:r>
        <w:t xml:space="preserve">as a weighted combination of four topological and spectral penalty terms.</w:t>
      </w:r>
    </w:p>
    <w:p>
      <w:pPr>
        <w:pStyle w:val="BodyText"/>
      </w:pPr>
      <w:r>
        <w:rPr>
          <w:bCs/>
          <w:b/>
        </w:rPr>
        <w:t xml:space="preserve">Table 3.2: Discriminator Penalty Components and Weights</w:t>
      </w:r>
    </w:p>
    <w:tbl>
      <w:tblPr>
        <w:tblStyle w:val="Table"/>
        <w:tblW w:type="pct" w:w="5000.0"/>
        <w:tblLook w:firstRow="1" w:lastRow="0" w:firstColumn="0" w:lastColumn="0" w:noHBand="0" w:noVBand="0" w:val="0020"/>
      </w:tblPr>
      <w:tblGrid>
        <w:gridCol w:w="1760"/>
        <w:gridCol w:w="2200"/>
        <w:gridCol w:w="2200"/>
        <w:gridCol w:w="1760"/>
      </w:tblGrid>
      <w:tr>
        <w:tc>
          <w:p>
            <w:pPr>
              <w:pStyle w:val="Compact"/>
              <w:jc w:val="left"/>
            </w:pPr>
            <w:r>
              <w:t xml:space="preserve">Penalty Component</w:t>
            </w:r>
          </w:p>
        </w:tc>
        <w:tc>
          <w:p>
            <w:pPr>
              <w:pStyle w:val="Compact"/>
              <w:jc w:val="center"/>
            </w:pPr>
            <w:r>
              <w:t xml:space="preserve">Symbol</w:t>
            </w:r>
          </w:p>
        </w:tc>
        <w:tc>
          <w:p>
            <w:pPr>
              <w:pStyle w:val="Compact"/>
              <w:jc w:val="center"/>
            </w:pPr>
            <w:r>
              <w:t xml:space="preserve">Weight</w:t>
            </w:r>
          </w:p>
        </w:tc>
        <w:tc>
          <w:p>
            <w:pPr>
              <w:pStyle w:val="Compact"/>
              <w:jc w:val="left"/>
            </w:pPr>
            <w:r>
              <w:t xml:space="preserve">Geometric Target / Justification</w:t>
            </w:r>
          </w:p>
        </w:tc>
      </w:tr>
      <w:tr>
        <w:tc>
          <w:p>
            <w:pPr>
              <w:pStyle w:val="Compact"/>
              <w:jc w:val="left"/>
            </w:pPr>
            <w:r>
              <w:t xml:space="preserve">Connected Component</w:t>
            </w:r>
          </w:p>
        </w:tc>
        <w:tc>
          <w:p>
            <w:pPr>
              <w:pStyle w:val="Compact"/>
              <w:jc w:val="center"/>
            </w:pPr>
            <m:oMath>
              <m:sSub>
                <m:e>
                  <m:r>
                    <m:t>P</m:t>
                  </m:r>
                </m:e>
                <m:sub>
                  <m:r>
                    <m:rPr>
                      <m:nor/>
                      <m:sty m:val="p"/>
                    </m:rPr>
                    <m:t>cc</m:t>
                  </m:r>
                </m:sub>
              </m:sSub>
            </m:oMath>
          </w:p>
        </w:tc>
        <w:tc>
          <w:p>
            <w:pPr>
              <w:pStyle w:val="Compact"/>
              <w:jc w:val="center"/>
            </w:pPr>
            <w:r>
              <w:t xml:space="preserve">25%</w:t>
            </w:r>
          </w:p>
        </w:tc>
        <w:tc>
          <w:p>
            <w:pPr>
              <w:pStyle w:val="Compact"/>
              <w:jc w:val="left"/>
            </w:pPr>
            <w:r>
              <w:t xml:space="preserve">Penalises fragmented meshes (e.g., floating artefacts).</w:t>
            </w:r>
          </w:p>
        </w:tc>
      </w:tr>
      <w:tr>
        <w:tc>
          <w:p>
            <w:pPr>
              <w:pStyle w:val="Compact"/>
              <w:jc w:val="left"/>
            </w:pPr>
            <w:r>
              <w:t xml:space="preserve">Genus Penalty</w:t>
            </w:r>
          </w:p>
        </w:tc>
        <w:tc>
          <w:p>
            <w:pPr>
              <w:pStyle w:val="Compact"/>
              <w:jc w:val="center"/>
            </w:pPr>
            <m:oMath>
              <m:sSub>
                <m:e>
                  <m:r>
                    <m:t>P</m:t>
                  </m:r>
                </m:e>
                <m:sub>
                  <m:r>
                    <m:rPr>
                      <m:nor/>
                      <m:sty m:val="p"/>
                    </m:rPr>
                    <m:t>genus</m:t>
                  </m:r>
                </m:sub>
              </m:sSub>
            </m:oMath>
          </w:p>
        </w:tc>
        <w:tc>
          <w:p>
            <w:pPr>
              <w:pStyle w:val="Compact"/>
              <w:jc w:val="center"/>
            </w:pPr>
            <w:r>
              <w:t xml:space="preserve">35%</w:t>
            </w:r>
          </w:p>
        </w:tc>
        <w:tc>
          <w:p>
            <w:pPr>
              <w:pStyle w:val="Compact"/>
              <w:jc w:val="left"/>
            </w:pPr>
            <w:r>
              <w:t xml:space="preserve">Highest weight; irreversible topological changes cannot be fixed by simple smoothing.</w:t>
            </w:r>
          </w:p>
        </w:tc>
      </w:tr>
      <w:tr>
        <w:tc>
          <w:p>
            <w:pPr>
              <w:pStyle w:val="Compact"/>
              <w:jc w:val="left"/>
            </w:pPr>
            <w:r>
              <w:t xml:space="preserve">Eigenvalue Variance</w:t>
            </w:r>
          </w:p>
        </w:tc>
        <w:tc>
          <w:p>
            <w:pPr>
              <w:pStyle w:val="Compact"/>
              <w:jc w:val="center"/>
            </w:pPr>
            <m:oMath>
              <m:sSub>
                <m:e>
                  <m:r>
                    <m:t>P</m:t>
                  </m:r>
                </m:e>
                <m:sub>
                  <m:r>
                    <m:rPr>
                      <m:nor/>
                      <m:sty m:val="p"/>
                    </m:rPr>
                    <m:t>var</m:t>
                  </m:r>
                </m:sub>
              </m:sSub>
            </m:oMath>
          </w:p>
        </w:tc>
        <w:tc>
          <w:p>
            <w:pPr>
              <w:pStyle w:val="Compact"/>
              <w:jc w:val="center"/>
            </w:pPr>
            <w:r>
              <w:t xml:space="preserve">25%</w:t>
            </w:r>
          </w:p>
        </w:tc>
        <w:tc>
          <w:p>
            <w:pPr>
              <w:pStyle w:val="Compact"/>
              <w:jc w:val="left"/>
            </w:pPr>
            <w:r>
              <w:t xml:space="preserve">Penalises high-frequency anomalies like sharp geometric spikes.</w:t>
            </w:r>
          </w:p>
        </w:tc>
      </w:tr>
      <w:tr>
        <w:tc>
          <w:p>
            <w:pPr>
              <w:pStyle w:val="Compact"/>
              <w:jc w:val="left"/>
            </w:pPr>
            <w:r>
              <w:t xml:space="preserve">Fiedler Connectivity</w:t>
            </w:r>
          </w:p>
        </w:tc>
        <w:tc>
          <w:p>
            <w:pPr>
              <w:pStyle w:val="Compact"/>
              <w:jc w:val="center"/>
            </w:pPr>
            <m:oMath>
              <m:sSub>
                <m:e>
                  <m:r>
                    <m:t>P</m:t>
                  </m:r>
                </m:e>
                <m:sub>
                  <m:r>
                    <m:rPr>
                      <m:nor/>
                      <m:sty m:val="p"/>
                    </m:rPr>
                    <m:t>fiedler</m:t>
                  </m:r>
                </m:sub>
              </m:sSub>
            </m:oMath>
          </w:p>
        </w:tc>
        <w:tc>
          <w:p>
            <w:pPr>
              <w:pStyle w:val="Compact"/>
              <w:jc w:val="center"/>
            </w:pPr>
            <w:r>
              <w:t xml:space="preserve">15%</w:t>
            </w:r>
          </w:p>
        </w:tc>
        <w:tc>
          <w:p>
            <w:pPr>
              <w:pStyle w:val="Compact"/>
              <w:jc w:val="left"/>
            </w:pPr>
            <w:r>
              <w:t xml:space="preserve">Lowest weight; accommodates legitimate open boundaries (like the Stanford Bunny) while flagging severe bottlenecks.</w:t>
            </w:r>
          </w:p>
        </w:tc>
      </w:tr>
    </w:tbl>
    <w:p>
      <w:pPr>
        <w:pStyle w:val="BodyText"/>
      </w:pPr>
      <w:r>
        <w:t xml:space="preserve">Each penalty term is a function of the mesh’s adjacency graph alone, making</w:t>
      </w:r>
      <w:r>
        <w:t xml:space="preserve"> </w:t>
      </w:r>
      <m:oMath>
        <m:sSub>
          <m:e>
            <m:r>
              <m:t>E</m:t>
            </m:r>
          </m:e>
          <m:sub>
            <m:r>
              <m:rPr>
                <m:nor/>
                <m:sty m:val="p"/>
              </m:rPr>
              <m:t>discriminator</m:t>
            </m:r>
          </m:sub>
        </m:sSub>
      </m:oMath>
      <w:r>
        <w:t xml:space="preserve"> </w:t>
      </w:r>
      <w:r>
        <w:t xml:space="preserve">a theoretically valid geometric energy term defined directly on the 3D mesh structure. This energy function directly fills the theoretical gap left by the purely 2D-defined SDS objective.</w:t>
      </w:r>
    </w:p>
    <w:p>
      <w:pPr>
        <w:pStyle w:val="BodyText"/>
      </w:pPr>
      <w:r>
        <w:t xml:space="preserve">The second component—the absence of spatially localised gradient signals—is addressed by the combined grounding module, which maps two distinct signal sources onto individual vertices. The critic’s per-vertex anomaly scores (z-score-based degree and edge-length outlier detection) provide direct vertex-level localisation without any intermediate representation change. The LMM’s per-view severity scores are mapped to vertices through a projection mechanism: for each view direction</w:t>
      </w:r>
      <w:r>
        <w:t xml:space="preserve"> </w:t>
      </w:r>
      <m:oMath>
        <m:sSub>
          <m:e>
            <m:r>
              <m:t>d</m:t>
            </m:r>
          </m:e>
          <m:sub>
            <m:r>
              <m:rPr>
                <m:nor/>
                <m:sty m:val="p"/>
              </m:rPr>
              <m:t>view</m:t>
            </m:r>
          </m:sub>
        </m:sSub>
      </m:oMath>
      <w:r>
        <w:t xml:space="preserve"> </w:t>
      </w:r>
      <w:r>
        <w:t xml:space="preserve">with severity score</w:t>
      </w:r>
      <w:r>
        <w:t xml:space="preserve"> </w:t>
      </w:r>
      <m:oMath>
        <m:sSub>
          <m:e>
            <m:r>
              <m:t>s</m:t>
            </m:r>
          </m:e>
          <m:sub>
            <m:r>
              <m:rPr>
                <m:nor/>
                <m:sty m:val="p"/>
              </m:rPr>
              <m:t>view</m:t>
            </m:r>
          </m:sub>
        </m:sSub>
      </m:oMath>
      <w:r>
        <w:t xml:space="preserve">, vertices are selected by identifying those in the top</w:t>
      </w:r>
      <w:r>
        <w:t xml:space="preserve"> </w:t>
      </w:r>
      <m:oMath>
        <m:r>
          <m:rPr>
            <m:sty m:val="p"/>
          </m:rPr>
          <m:t>(</m:t>
        </m:r>
        <m:r>
          <m:t>1</m:t>
        </m:r>
        <m:r>
          <m:rPr>
            <m:sty m:val="p"/>
          </m:rPr>
          <m:t>−</m:t>
        </m:r>
        <m:r>
          <m:rPr>
            <m:nor/>
            <m:sty m:val="p"/>
          </m:rPr>
          <m:t>view_extent</m:t>
        </m:r>
        <m:r>
          <m:rPr>
            <m:sty m:val="p"/>
          </m:rPr>
          <m:t>)</m:t>
        </m:r>
      </m:oMath>
      <w:r>
        <w:t xml:space="preserve"> </w:t>
      </w:r>
      <w:r>
        <w:t xml:space="preserve">quantile of the projection</w:t>
      </w:r>
      <w:r>
        <w:t xml:space="preserve"> </w:t>
      </w:r>
      <m:oMath>
        <m:sSub>
          <m:e>
            <m:r>
              <m:t>v</m:t>
            </m:r>
          </m:e>
          <m:sub>
            <m:r>
              <m:t>i</m:t>
            </m:r>
          </m:sub>
        </m:sSub>
        <m:r>
          <m:rPr>
            <m:sty m:val="p"/>
          </m:rPr>
          <m:t>⋅</m:t>
        </m:r>
        <m:sSub>
          <m:e>
            <m:r>
              <m:t>d</m:t>
            </m:r>
          </m:e>
          <m:sub>
            <m:r>
              <m:rPr>
                <m:nor/>
                <m:sty m:val="p"/>
              </m:rPr>
              <m:t>view</m:t>
            </m:r>
          </m:sub>
        </m:sSub>
      </m:oMath>
      <w:r>
        <w:t xml:space="preserve"> </w:t>
      </w:r>
      <w:r>
        <w:t xml:space="preserve">(geometrically, the vertices closest to the camera in that view direction) whose normal vectors satisfy</w:t>
      </w:r>
      <w:r>
        <w:t xml:space="preserve"> </w:t>
      </w:r>
      <m:oMath>
        <m:sSub>
          <m:e>
            <m:r>
              <m:t>n</m:t>
            </m:r>
          </m:e>
          <m:sub>
            <m:r>
              <m:t>i</m:t>
            </m:r>
          </m:sub>
        </m:sSub>
        <m:r>
          <m:rPr>
            <m:sty m:val="p"/>
          </m:rPr>
          <m:t>⋅</m:t>
        </m:r>
        <m:sSub>
          <m:e>
            <m:r>
              <m:t>d</m:t>
            </m:r>
          </m:e>
          <m:sub>
            <m:r>
              <m:rPr>
                <m:nor/>
                <m:sty m:val="p"/>
              </m:rPr>
              <m:t>view</m:t>
            </m:r>
          </m:sub>
        </m:sSub>
        <m:r>
          <m:rPr>
            <m:sty m:val="p"/>
          </m:rPr>
          <m:t>≥</m:t>
        </m:r>
        <m:r>
          <m:rPr>
            <m:nor/>
            <m:sty m:val="p"/>
          </m:rPr>
          <m:t>normal_threshold</m:t>
        </m:r>
      </m:oMath>
      <w:r>
        <w:t xml:space="preserve"> </w:t>
      </w:r>
      <w:r>
        <w:t xml:space="preserve">(facing the camera). The maximum severity score across all views is accumulated per vertex, providing a spatially precise 3D grounding of the LMM’s 2D severity assessments. The resulting weight map</w:t>
      </w:r>
      <w:r>
        <w:t xml:space="preserve"> </w:t>
      </w:r>
      <m:oMath>
        <m:sSub>
          <m:e>
            <m:r>
              <m:t>w</m:t>
            </m:r>
          </m:e>
          <m:sub>
            <m:r>
              <m:t>i</m:t>
            </m:r>
          </m:sub>
        </m:sSub>
      </m:oMath>
      <w:r>
        <w:t xml:space="preserve"> </w:t>
      </w:r>
      <w:r>
        <w:t xml:space="preserve">is then used directly as a gradient scaling factor in the refinement update:</w:t>
      </w:r>
    </w:p>
    <w:p>
      <w:pPr>
        <w:pStyle w:val="BodyText"/>
      </w:pPr>
      <m:oMathPara>
        <m:oMathParaPr>
          <m:jc m:val="center"/>
        </m:oMathParaPr>
        <m:oMath>
          <m:r>
            <m:t>v</m:t>
          </m:r>
          <m:r>
            <m:rPr>
              <m:sty m:val="p"/>
            </m:rPr>
            <m:t>←</m:t>
          </m:r>
          <m:r>
            <m:t>v</m:t>
          </m:r>
          <m:r>
            <m:rPr>
              <m:sty m:val="p"/>
            </m:rPr>
            <m:t>−</m:t>
          </m:r>
          <m:r>
            <m:t>η</m:t>
          </m:r>
          <m:r>
            <m:rPr>
              <m:sty m:val="p"/>
            </m:rPr>
            <m:t>⋅</m:t>
          </m:r>
          <m:r>
            <m:rPr>
              <m:sty m:val="p"/>
            </m:rPr>
            <m:t>(</m:t>
          </m:r>
          <m:r>
            <m:t>λ</m:t>
          </m:r>
          <m:r>
            <m:rPr>
              <m:sty m:val="p"/>
            </m:rPr>
            <m:t>∇</m:t>
          </m:r>
          <m:sSub>
            <m:e>
              <m:r>
                <m:t>L</m:t>
              </m:r>
            </m:e>
            <m:sub>
              <m:r>
                <m:rPr>
                  <m:nor/>
                  <m:sty m:val="p"/>
                </m:rPr>
                <m:t>geo</m:t>
              </m:r>
            </m:sub>
          </m:sSub>
          <m:r>
            <m:rPr>
              <m:sty m:val="p"/>
            </m:rPr>
            <m:t>+</m:t>
          </m:r>
          <m:r>
            <m:rPr>
              <m:sty m:val="p"/>
            </m:rPr>
            <m:t>(</m:t>
          </m:r>
          <m:r>
            <m:t>1</m:t>
          </m:r>
          <m:r>
            <m:rPr>
              <m:sty m:val="p"/>
            </m:rPr>
            <m:t>−</m:t>
          </m:r>
          <m:r>
            <m:t>λ</m:t>
          </m:r>
          <m:r>
            <m:rPr>
              <m:sty m:val="p"/>
            </m:rPr>
            <m:t>)</m:t>
          </m:r>
          <m:r>
            <m:rPr>
              <m:sty m:val="p"/>
            </m:rPr>
            <m:t>∇</m:t>
          </m:r>
          <m:r>
            <m:t>D</m:t>
          </m:r>
          <m:r>
            <m:rPr>
              <m:sty m:val="p"/>
            </m:rPr>
            <m:t>)</m:t>
          </m:r>
          <m:r>
            <m:rPr>
              <m:sty m:val="p"/>
            </m:rPr>
            <m:t>⊙</m:t>
          </m:r>
          <m:r>
            <m:t>w</m:t>
          </m:r>
        </m:oMath>
      </m:oMathPara>
    </w:p>
    <w:p>
      <w:pPr>
        <w:pStyle w:val="FirstParagraph"/>
      </w:pPr>
      <w:r>
        <w:t xml:space="preserve">making the gradient signal spatially localised at the vertex level—precisely the property that was missing from all prior approaches.</w:t>
      </w:r>
    </w:p>
    <w:p>
      <w:pPr>
        <w:pStyle w:val="BodyText"/>
      </w:pPr>
      <w:r>
        <w:t xml:space="preserve">The third component—the reliance on a language-channel feedback with insufficient spatial information capacity—is addressed by the AGD framework’s architectural decision to eliminate the natural-language feedback channel entirely. LMM outputs (severity scores and descriptive notes from local LLaVA inference) are consumed by the grounding module as numerical scores, not as text prompts. The text content of the LLaVA response is used only to parse the numerical severity value; the descriptive notes are not re-transmitted to any generative model. This eliminates the semantic bottleneck at the architectural level: spatial information does not need to be expressed in language, compressed into a text prompt, and re-interpreted by a diffusion model. Instead, it flows directly from the LMM’s numerical output through the grounding module to the vertex weight map and into the refinement gradient. The theoretical information capacity of this channel is substantially higher than the natural-language channel, because numerical vertex weights are a continuous representation that can encode spatial precision at the resolution of individual vertices (</w:t>
      </w:r>
      <m:oMath>
        <m:r>
          <m:t>V</m:t>
        </m:r>
      </m:oMath>
      <w:r>
        <w:t xml:space="preserve"> </w:t>
      </w:r>
      <w:r>
        <w:t xml:space="preserve">dimensions of precision) rather than at the resolution of token-level natural-language descriptors.</w:t>
      </w:r>
    </w:p>
    <w:p>
      <w:pPr>
        <w:pStyle w:val="BodyText"/>
      </w:pPr>
      <w:r>
        <w:t xml:space="preserve">Together, these three theoretical mechanisms constitute a complete response to the formally identified research gap, replacing the theoretical deficiencies of prior approaches with principled mathematical frameworks drawn from spectral graph theory, algebraic topology, graph neural network theory, and geometric energy minimisation. The theoretical coherence of these components—their mutual consistency and complementarity, as characterised in Section 3.6—supports the central hypothesis stated in Section 1.3 of the project proposal: that a spatially-aware geometric feedback mechanism grounded in topological and spectral 3D metrics is both necessary and sufficient to eliminate the primary and secondary hallucinations that afflict current text-to-3D generation systems.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2026-05-04T18:07:04Z</dcterms:created>
  <dcterms:modified xsi:type="dcterms:W3CDTF">2026-05-04T18:07:04Z</dcterms:modified>
</cp:coreProperties>
</file>

<file path=docProps/custom.xml><?xml version="1.0" encoding="utf-8"?>
<Properties xmlns="http://schemas.openxmlformats.org/officeDocument/2006/custom-properties" xmlns:vt="http://schemas.openxmlformats.org/officeDocument/2006/docPropsVTypes"/>
</file>