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Cliente(RFCC, RazonSocial, Domicilio)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RFCC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 - No Tiene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RazonSocial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Facturas(NoFactura, Fecha, Status, RFCC)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NoFactura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 - RFCC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(NoFactura, Fecha)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Ventas(NoFactura, CBarras,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(NoFactura, CBarras)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Fk1 - NoFactura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Fk2 - 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(NoFactura, CBarras,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Productos(CBarras, Nombre, Descripcion, Precio, Existencia)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 - No Tiene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(CBarras, Nombre)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Surten(RFCP, CBarras, Fecha,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(RFCP, CBarras, Fecha)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Fk1 - RFCP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Fk2 - CBarras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(RFCP, CBarras, Fecha, Cantidad)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Proveedor(RFCP, RazonSocial, Domicilio, Contacto)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Pk - RFCP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Fk - No Tiene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Ak - (RFCP, Domicilio)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-Abraham Lemus Ruiz                   </w:t>
        <w:tab/>
        <w:t xml:space="preserve">- A01207538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-Giancarlo Marte Peralta              </w:t>
        <w:tab/>
        <w:t xml:space="preserve">- A01702312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-Armando Josué Ruiz Muñoz </w:t>
        <w:tab/>
        <w:t xml:space="preserve">- A01187388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-Carlos Andres Ruiz Muñoz             </w:t>
        <w:tab/>
        <w:t xml:space="preserve">- A01014735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-Cristhian Michelle Estrada Quiroz    - A01700043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