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Ang Hiyas Gina Meeting Checklist V2</w:t>
      </w:r>
    </w:p>
    <w:p>
      <w:pPr>
        <w:spacing w:after="200"/>
      </w:pPr>
      <w:r>
        <w:rPr>
          <w:color w:val="555555"/>
          <w:sz w:val="21"/>
        </w:rPr>
        <w:t>Client visit preparation checklist for business setup, website launch, payments, content, and admin handover.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360"/>
      </w:tblGrid>
      <w:tr>
        <w:tc>
          <w:tcPr>
            <w:tcW w:type="dxa" w:w="9936"/>
            <w:shd w:fill="F4F6F9"/>
          </w:tcPr>
          <w:p>
            <w:r>
              <w:rPr>
                <w:b/>
                <w:color w:val="1F4D78"/>
              </w:rPr>
              <w:t xml:space="preserve">Visit aim: </w:t>
            </w:r>
            <w:r>
              <w:t>Leave the meeting with account ownership clear, launch requirements known, and no payment/domain/email setup blocked by missing information.</w:t>
            </w:r>
          </w:p>
        </w:tc>
      </w:tr>
    </w:tbl>
    <w:p/>
    <w:p>
      <w:pPr>
        <w:pStyle w:val="Heading1"/>
      </w:pPr>
      <w:r>
        <w:t>Business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Exact business name and trading name to use everywhere.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ABN and whether it should be displayed on the website.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Best public email, phone number, suburb, service area, and appointment hours.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Business address privacy: public on the site, or shared only after enquiry/order.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Social links: Facebook, Instagram, TikTok, and any other active pages.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Services, Rentals, And Custom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Tailoring services offered.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Alterations offered.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Custom Barong / Filipiniana work offered.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Rentals offered and whether fittings are appointment-only.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Deposit, cancellation, quote validity, and turnaround-time rules for custom work.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Rental bond/deposit, late return, damage, collection, and return rules.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Products For Online 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Product names customers should see.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Prices, sizes, styles, colours, and descriptions.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Which products are online checkout products and which are enquiry-only.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Which images are final and approved for the website.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Stock and variant details for launch products.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Payments, Shipping, And Pickup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Stripe account owner and setup status.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PayPal Business account owner and setup status.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Afterpay decision: launch now, enable through Stripe later, or later phase.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Shipping cost rules and free-shipping threshold.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Local pickup availability and wording.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Refund, exchange, and cancellation policy.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Small test payment and refund completed before live checkout is enabled.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Domain, Email, And Google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Domain name decision, likely anghiyas.com.au.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VentraIP account owner and ABN available for .com.au registration.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Google Workspace mailbox: admin@anghiyas.com.au.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Who receives order emails and enquiry emails.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Google Business Profile details: address/service area, hours, phone, photos, business description.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GA4 and Search Console access/ownership.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Render, Hosting, And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Render account ownership and access arrangement.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Confirm whether image uploads will be managed through Git at launch or persistent storage.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Persistent disk decision before client starts uploading product/category images through admin.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Environment variables confirmed for preview and later live mode.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Website stays payment-preview-disabled until live payment credentials are tested.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Policies And Legal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Shipping policy.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Returns/exchanges policy for ready-made products.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Custom-order cancellation policy.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Rental terms.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Privacy policy basics.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Size and fit disclaimer.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Visit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Admin guide walked through.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Client understands product/category/order basics.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Account ownership confirmed for domain, email, payments, and hosting.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Clear list of items still needed after the visit.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Decision made on whether checkout remains preview-only after the visit.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Passwords And Access Handling</w:t>
      </w:r>
    </w:p>
    <w:p>
      <w:pPr>
        <w:pStyle w:val="ListBullet"/>
        <w:spacing w:after="60"/>
        <w:ind w:left="360"/>
      </w:pPr>
      <w:r>
        <w:t>Client should log into payment, email, domain, and Google accounts using her own Chrome profile where possible.</w:t>
      </w:r>
    </w:p>
    <w:p>
      <w:pPr>
        <w:pStyle w:val="ListBullet"/>
        <w:spacing w:after="60"/>
        <w:ind w:left="360"/>
      </w:pPr>
      <w:r>
        <w:t>Passwords and two-factor codes should not be written in this document.</w:t>
      </w:r>
    </w:p>
    <w:p>
      <w:pPr>
        <w:pStyle w:val="ListBullet"/>
        <w:spacing w:after="60"/>
        <w:ind w:left="360"/>
      </w:pPr>
      <w:r>
        <w:t>Where you need access, use admin/user invitations rather than shared passwords whenever the provider allows it.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