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B2077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대외무역법</w:t>
      </w:r>
    </w:p>
    <w:p w:rsidR="00000000" w:rsidRDefault="00FB2077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8. 21.]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20319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2. 20.,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FB207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산업통상자원부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무역정책과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수출입거래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044-203-4024, 4019</w:t>
      </w:r>
    </w:p>
    <w:p w:rsidR="00000000" w:rsidRDefault="00FB207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산업통상자원부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수출입과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원산지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044-203-4044</w:t>
      </w:r>
    </w:p>
    <w:p w:rsidR="00000000" w:rsidRDefault="00FB207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산업통상자원부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무역안보정책과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전략물자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044-203-4836</w:t>
      </w:r>
    </w:p>
    <w:p w:rsidR="00000000" w:rsidRDefault="00FB207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도모함으로써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발전시키는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21., 2020. 2. 4.&gt;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무역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물품등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물품</w:t>
      </w:r>
    </w:p>
    <w:p w:rsidR="00000000" w:rsidRDefault="00FB207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</w:p>
    <w:p w:rsidR="00000000" w:rsidRDefault="00FB207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무체물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無體物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動産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「외국환거래법」에서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지급수단</w:t>
      </w:r>
    </w:p>
    <w:p w:rsidR="00000000" w:rsidRDefault="00FB207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「외국환거래법」에서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</w:t>
      </w:r>
    </w:p>
    <w:p w:rsidR="00000000" w:rsidRDefault="00FB207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「외국환거래법」에서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化體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무역거래자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수출자에게서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수출행위와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정부간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수출계약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「방위산업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방위산업물자등은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有償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자유롭고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우리나라의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헌법에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체결ㆍ공포된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국제법규에서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자유롭고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조장함을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체결ㆍ공포된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지속적으로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무역의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業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무역전시장이나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무역연수원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과학적인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처리기반을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換積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2013. 7. 30.,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우리나라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교역상대국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전쟁ㆍ사변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천재지변이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교역상대국이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국제법규에서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교역상대국이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차별적인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체결ㆍ공포된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국제법규에서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국제평화와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국제평화와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국제공조에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교역여건의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교역상대국과의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인간의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생명ㆍ건강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환경보전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자원보호를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무역에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훈령ㆍ고시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수출ㆍ수입요령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수출ㆍ수입요령의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</w:t>
      </w: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통상진흥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통상진흥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세워야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4. 22.&gt;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통상진흥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국제통상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전망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무역ㆍ통상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방안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통상진흥을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전문인력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방안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정보수집ㆍ분석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방안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원자재의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방안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교역상대국의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제도ㆍ관행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겪는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산업통</w:t>
      </w:r>
      <w:r>
        <w:rPr>
          <w:rFonts w:ascii="HYSMyeongJo-Medium" w:hAnsi="HYSMyeongJo-Medium" w:cs="HYSMyeongJo-Medium"/>
          <w:sz w:val="20"/>
          <w:szCs w:val="20"/>
        </w:rPr>
        <w:t>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광역시장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통상진흥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2013. 7. 30.&gt;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활동의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</w:t>
      </w:r>
      <w:r>
        <w:rPr>
          <w:rFonts w:ascii="HYSMyeongJo-Medium" w:eastAsia="HY중고딕" w:hAnsi="HYSMyeongJo-Medium" w:cs="HYSMyeongJo-Medium"/>
          <w:sz w:val="20"/>
          <w:szCs w:val="20"/>
        </w:rPr>
        <w:t>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무역ㆍ통상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교역상대국의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지방정부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에너지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협력활동을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무역ㆍ통상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4. 22.,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수집ㆍ분석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무역ㆍ통상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4. 22.,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상담ㆍ안내ㆍ홍보ㆍ조사와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「대한무역투자진흥공사법」에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대한무역투자진흥공사에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해외진출지원센터를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4. 22.,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해외진출지원센터의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4. 22.&gt;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전문무역상사의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신제품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중소기업ㆍ중견기업의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수출확대를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수출실적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수출비중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무역거래자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전문무역상사를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지원내용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전문무역상사가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21.]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우리나라가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습득한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습득한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영업비밀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漏泄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4. 22.]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</w:t>
      </w: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B2077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FB2077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자유롭게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이루어져야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무역거래자는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대외신용도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자유무역질서를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지정ㆍ고시하는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1. 27.&gt;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체결ㆍ공포된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국제법규에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생물자원의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교역상대국과의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국방상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과학기술의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통상ㆍ산업정책에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긴급히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간소화하기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2016. 1. 27.&gt;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7. 30.&gt;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7. 30.&gt;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2013. 7. 30.&gt;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품목별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수량ㆍ금액ㆍ</w:t>
      </w:r>
      <w:r>
        <w:rPr>
          <w:rFonts w:ascii="HYSMyeongJo-Medium" w:hAnsi="HYSMyeongJo-Medium" w:cs="HYSMyeongJo-Medium"/>
          <w:sz w:val="20"/>
          <w:szCs w:val="20"/>
        </w:rPr>
        <w:t>규격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2013. 7. 30.&gt;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제한ㆍ금지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2013. 7. 30.&gt;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7. 30.,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수출ㆍ수입요령을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제정하거나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수출ㆍ수입요령이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수출ㆍ수입요령을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이루어질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기획재정부장관이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해당하는지를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과학적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무역업무의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처리기반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이루어질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대외무역통계시스템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교환체</w:t>
      </w:r>
      <w:r>
        <w:rPr>
          <w:rFonts w:ascii="HYSMyeongJo-Medium" w:eastAsia="HY중고딕" w:hAnsi="HYSMyeongJo-Medium" w:cs="HYSMyeongJo-Medium"/>
          <w:sz w:val="20"/>
          <w:szCs w:val="20"/>
        </w:rPr>
        <w:t>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처리기반을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4. 22.,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처리기반을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통관기록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29., 2009. 4. 22.,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외화획득용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원료ㆍ기재의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000000" w:rsidRDefault="00FB2077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외화획득용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원료ㆍ기재의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</w:t>
      </w:r>
      <w:r>
        <w:rPr>
          <w:rFonts w:ascii="HYSMyeongJo-Medium" w:eastAsia="HY중고딕" w:hAnsi="HYSMyeongJo-Medium" w:cs="HYSMyeongJo-Medium"/>
          <w:sz w:val="20"/>
          <w:szCs w:val="20"/>
        </w:rPr>
        <w:t>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機材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외화획득을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원료ㆍ기재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원료ㆍ기재의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2013. 7. 30.&gt;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원료ㆍ기재의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품목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원료ㆍ기재를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외화획득을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외화획득의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이행기간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확인방법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외화획득용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원료ㆍ기재의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벗어난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원료</w:t>
      </w:r>
      <w:r>
        <w:rPr>
          <w:rFonts w:ascii="HYSMyeongJo-Medium" w:eastAsia="HY중고딕" w:hAnsi="HYSMyeongJo-Medium" w:cs="HYSMyeongJo-Medium"/>
          <w:sz w:val="20"/>
          <w:szCs w:val="20"/>
        </w:rPr>
        <w:t>ㆍ기재를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원료ㆍ기재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원료ㆍ기재로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원료ㆍ기재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원료ㆍ기재로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원료ㆍ기재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원료ㆍ기재로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讓渡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讓受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원료ㆍ기재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원료ㆍ기재로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원료ㆍ기재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원료ㆍ기재로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구매확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외화획득용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원료ㆍ기재를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「부가가치세법」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零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적용받기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외화획득용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원료ㆍ기재를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구매확인서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2013. 6. 7.&gt;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구매확인서를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외화획득용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원료ㆍ기재의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사후관리하여야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구매확인서의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신청ㆍ발급절차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전략물자의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수출입</w:t>
      </w:r>
    </w:p>
    <w:p w:rsidR="00000000" w:rsidRDefault="00FB2077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전략물자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국제평화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안전유지와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국가안보를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국제수출통제체제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다자간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수출통제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국제수출통제체제등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지정ㆍ고시하여야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지정ㆍ고시된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까지ㆍ제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수출신고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「관세법」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수출허가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「방위사업법」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방위산업물자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국방과학기술이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국내법에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상황허가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대량파괴무기와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운반수단인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미사일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재래식무기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대량파괴무기등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제조ㆍ개발ㆍ사용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전용될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가능성이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수출신고하려는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최종사용자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대량파괴무기등의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제조ㆍ개발ㆍ사용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의심되면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상황허가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기술수준과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격차가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최종사용자가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최종사용자가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최종사용자가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해</w:t>
      </w:r>
      <w:r>
        <w:rPr>
          <w:rFonts w:ascii="HYSMyeongJo-Medium" w:hAnsi="HYSMyeongJo-Medium" w:cs="HYSMyeongJo-Medium"/>
          <w:sz w:val="20"/>
          <w:szCs w:val="20"/>
        </w:rPr>
        <w:t>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최종수하인이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운송업자인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가격조건이나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지불조건이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벗어나는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벗어난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수송경로가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벗어난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벗어나는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국제정세의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>안보를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환적허가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경유하거나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환적하려는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환적허가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중개허가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「방위사업법」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방위산업물자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국방과학기술이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</w:t>
      </w:r>
      <w:r>
        <w:rPr>
          <w:rFonts w:ascii="HYSMyeongJo-Medium" w:eastAsia="HY중고딕" w:hAnsi="HYSMyeongJo-Medium" w:cs="HYSMyeongJo-Medium"/>
          <w:sz w:val="20"/>
          <w:szCs w:val="20"/>
        </w:rPr>
        <w:t>자원부장관이나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상황허가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환적허가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국제평화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사용용도를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국제수출통제체제등에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부합하는지를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증빙자료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재외공관에서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공용물품을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>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상황허가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상황허가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환적허가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</w:t>
      </w:r>
      <w:r>
        <w:rPr>
          <w:rFonts w:ascii="HYSMyeongJo-Medium" w:eastAsia="HY중고딕" w:hAnsi="HYSMyeongJo-Medium" w:cs="HYSMyeongJo-Medium"/>
          <w:sz w:val="20"/>
          <w:szCs w:val="20"/>
        </w:rPr>
        <w:t>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테러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대량파괴무기등의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이동ㆍ확산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국제정세의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2013. 7. 30.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2. 20.&gt;]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전문판정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수출신고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정보수사기관의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</w:t>
      </w:r>
      <w:r>
        <w:rPr>
          <w:rFonts w:ascii="HYSMyeongJo-Medium" w:eastAsia="HY중고딕" w:hAnsi="HYSMyeongJo-Medium" w:cs="HYSMyeongJo-Medium"/>
          <w:sz w:val="20"/>
          <w:szCs w:val="20"/>
        </w:rPr>
        <w:t>등인지를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전문판정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무역안보관리원의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수출신고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자가판정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수출신고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물품등인지를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스스로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자가판정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자가판정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자가판</w:t>
      </w:r>
      <w:r>
        <w:rPr>
          <w:rFonts w:ascii="HYSMyeongJo-Medium" w:eastAsia="HY중고딕" w:hAnsi="HYSMyeongJo-Medium" w:cs="HYSMyeongJo-Medium"/>
          <w:sz w:val="20"/>
          <w:szCs w:val="20"/>
        </w:rPr>
        <w:t>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수출입관리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정보시스템에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자율준수무역거래자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무역거래자가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자가판정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</w:t>
      </w:r>
      <w:r>
        <w:rPr>
          <w:rFonts w:ascii="HYSMyeongJo-Medium" w:hAnsi="HYSMyeongJo-Medium" w:cs="HYSMyeongJo-Medium"/>
          <w:sz w:val="20"/>
          <w:szCs w:val="20"/>
        </w:rPr>
        <w:t>자원부장관이나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수출신고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자가판정의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이동중지명령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환적되거나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거짓이나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환적되는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무허가수출등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막기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환적이라는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이동중지명령을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무허가수출등을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막기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환적이라는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이동중지조치를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이동중지조치를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무허가수출등을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이동중지조치를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내보여야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이동중지명령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이동중지조치의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무허가수출등을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막기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최소한도에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자율준수무역거래자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자율적인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수출입관리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판정능력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최종사용자에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분석능력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무역거래자를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자율준수무역거래자로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2013. 7. 30.,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자율준수무역거래자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자율준수무역거래자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자율준수무역거래자는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2. 20.&gt;]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자율준수무역거래자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자율준수무역거래자를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자율준수무역거래자의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자율준수무역거래자의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</w:t>
      </w:r>
      <w:r>
        <w:rPr>
          <w:rFonts w:ascii="HYSMyeongJo-Medium" w:hAnsi="HYSMyeongJo-Medium" w:cs="HYSMyeongJo-Medium"/>
          <w:sz w:val="20"/>
          <w:szCs w:val="20"/>
        </w:rPr>
        <w:t>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자율준수무역거래자의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상황허가를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중개허가를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전략물자수출입고시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수출입통관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전략물자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수출입관리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정보시스템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무역안보관리원과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수출입관리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정보시스템을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4. 22., 2013. 3. 23.,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수출허가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상황허가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중개허가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전문판정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자가판정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수입목적확인서의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전략물자의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수집ㆍ분석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2. 20.&gt;]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&lt;2024. 2. 20.&gt;</w:t>
      </w: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무역안보관리원의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수출입관리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</w:t>
      </w:r>
      <w:r>
        <w:rPr>
          <w:rFonts w:ascii="HYSMyeongJo-Medium" w:eastAsia="HY중고딕" w:hAnsi="HYSMyeongJo-Medium" w:cs="HYSMyeongJo-Medium"/>
          <w:sz w:val="20"/>
          <w:szCs w:val="20"/>
        </w:rPr>
        <w:t>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무역안보관리원을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무역안보관리원은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무역안보관리원은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무역안보관리원은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무역안보관리원은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09. 4. 22., 2013. 7. 30.,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무역안보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무역안보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산업영향분석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무역안보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외교안보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전문판정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전문판정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자가판정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보고ㆍ검사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전략물자등의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무역안보관리원의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무역안보관리원을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무역안보관리원에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</w:t>
      </w:r>
      <w:r>
        <w:rPr>
          <w:rFonts w:ascii="HYSMyeongJo-Medium" w:hAnsi="HYSMyeongJo-Medium" w:cs="HYSMyeongJo-Medium"/>
          <w:sz w:val="20"/>
          <w:szCs w:val="20"/>
        </w:rPr>
        <w:t>안보관리원의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2. 20.&gt;]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전략물자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수출입통제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수출입통제와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부처간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수출입통제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협의회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2016. 1. 27.&gt;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협의회의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협의회의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7. 30., 2016. 1. 27.&gt;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무허가</w:t>
      </w:r>
      <w:r>
        <w:rPr>
          <w:rFonts w:ascii="HYSMyeongJo-Medium" w:hAnsi="HYSMyeongJo-Medium" w:cs="HYSMyeongJo-Medium"/>
          <w:sz w:val="20"/>
          <w:szCs w:val="20"/>
        </w:rPr>
        <w:t>수출등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27., 2020. 3. 18.&gt;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협의회의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27.&gt;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2. 20.&gt;]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수입목적확인서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수입목적확인서의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수입목적확인서를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2. 20.&gt;]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무역거래자는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전략</w:t>
      </w:r>
      <w:r>
        <w:rPr>
          <w:rFonts w:ascii="HYSMyeongJo-Medium" w:hAnsi="HYSMyeongJo-Medium" w:cs="HYSMyeongJo-Medium"/>
          <w:sz w:val="20"/>
          <w:szCs w:val="20"/>
        </w:rPr>
        <w:t>물자등을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수출신고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상황허가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중개허가에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전문판정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자가판정에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2. 20.&gt;]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수출입관리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무역안보관리</w:t>
      </w:r>
      <w:r>
        <w:rPr>
          <w:rFonts w:ascii="HYSMyeongJo-Medium" w:eastAsia="HY중고딕" w:hAnsi="HYSMyeongJo-Medium" w:cs="HYSMyeongJo-Medium"/>
          <w:sz w:val="20"/>
          <w:szCs w:val="20"/>
        </w:rPr>
        <w:t>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임직원과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수출입관리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수행과정에서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무역거래자의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4. 22.,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2. 20.&gt;]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전략물자등의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4. 22., 2013. 3. 23., 2013. 7. 30., 2020. 3. 18.,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상황허가를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중개허가를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상황허가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수출허가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상황허가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이동중지명령을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이동중지조치를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산업통상자원부장관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2009. 4. 22., 2013. 3. 23., 2013. 7. 30.&gt;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7. 30.]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2. 20.&gt;]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2. 20.&gt;]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플랜트수출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5.&gt;</w:t>
      </w:r>
    </w:p>
    <w:p w:rsidR="00000000" w:rsidRDefault="00FB2077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플랜트수출의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플랜트수출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플랜트수출을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승인한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4. 5., 2013. 3. 23.&gt;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농업ㆍ임업ㆍ어업ㆍ광업ㆍ제조업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전기ㆍ가스ㆍ수도사업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운송ㆍ창고업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방송ㆍ통신업을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기재ㆍ장치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산업설비ㆍ기술용역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일괄수주방식에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플랜트수출의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타당성에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4. 5.,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일괄수주방식에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4. 5.,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일괄수주방식에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시공부문의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「해외건설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해외건설사업자에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2016. 1. 27., 2019. 4. 30.&gt;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산업통상</w:t>
      </w:r>
      <w:r>
        <w:rPr>
          <w:rFonts w:ascii="HYSMyeongJo-Medium" w:hAnsi="HYSMyeongJo-Medium" w:cs="HYSMyeongJo-Medium"/>
          <w:sz w:val="20"/>
          <w:szCs w:val="20"/>
        </w:rPr>
        <w:t>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플랜트수출의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4. 5.,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플랜트수출을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제도개선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정보교류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수주질서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전문인력의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금융지원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우수기업의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플랜트수출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5.,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5.]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정부간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21.&gt;</w:t>
      </w:r>
    </w:p>
    <w:p w:rsidR="00000000" w:rsidRDefault="00FB2077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정부간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보증ㆍ보험기관으로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수출계약과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보증채무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21.]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정부간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전담기관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정부간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전담기관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「대한무역투자진흥공사법」에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대한무역투자진흥공사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전담기관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수출계약과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정부간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수출계약에서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전담기관은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보증ㆍ보험의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전담기관은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21.]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정부간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심의위원회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심의ㆍ의결하기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전담기관에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대한무역투자진흥공사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공개될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크게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곤란하여질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크게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21.]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sz w:val="20"/>
          <w:szCs w:val="20"/>
        </w:rPr>
        <w:t>부간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보증ㆍ보험의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21.]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2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원산지의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5.&gt;</w:t>
      </w:r>
    </w:p>
    <w:p w:rsidR="00000000" w:rsidRDefault="00FB2077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물품등의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원산지의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원산지를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원산지표시대상물품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원산지를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2008. 2. 29., 2010. 4. 5., 20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원산지표시대상물품에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원산지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무역거래자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원산지를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5.&gt;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원산지의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표시방법ㆍ확인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5.&gt;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무역거래자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국내생산물품등에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5., 2013. 7. 30., 2022. 6. 10.&gt;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원산지를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원산지를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誤認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원산지의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원산지표시대상물품에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원산지표시대상물품을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산업통상자원부장관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위반하였는지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국내생산물품등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4. 5., 2013. 3. 23., 2013. 7. 30., 2022. 6. 10.&gt;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&lt;2013. 7. 30.&gt;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&lt;2013. 7. 30.&gt;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&lt;2013. 7. 30.&gt;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원산지의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시정명령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판매중지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원상복구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원산지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>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「지방행정제재ㆍ부과금의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31.&gt;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품목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위반내용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2013. 7. 30.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원산지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원산지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무역거래자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원산지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수입원료를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국내생산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물품등의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원산지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거래질서의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생산되어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유통되거나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국내생산물품등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국내생산물품등에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2010. 4. 5., 2013. 3. 23., 2022. 6. 10.&gt;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국내생산물품등에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</w:t>
      </w:r>
      <w:r>
        <w:rPr>
          <w:rFonts w:ascii="HYSMyeongJo-Medium" w:hAnsi="HYSMyeongJo-Medium" w:cs="HYSMyeongJo-Medium"/>
          <w:sz w:val="20"/>
          <w:szCs w:val="20"/>
        </w:rPr>
        <w:t>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국내생산물품등의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원산지표시대상물품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국내생산물품등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물품등의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원산지증명서의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원산지를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船積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원산지증명서를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원산지증명서의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원산지증명서의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국내생산물품등의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원산지증명서를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원산지증명서의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lastRenderedPageBreak/>
        <w:t>2. 29., 2013. 3. 23., 2022. 6. 10.&gt;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원산지증명서의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발급기준ㆍ발급절차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물품등을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물품등으로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가장하는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원산지증명서를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거짓된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원산지증명서를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원산지를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거짓으로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</w:t>
      </w:r>
      <w:r>
        <w:rPr>
          <w:rFonts w:ascii="HYSMyeongJo-Medium" w:eastAsia="HY중고딕" w:hAnsi="HYSMyeongJo-Medium" w:cs="HYSMyeongJo-Medium"/>
          <w:sz w:val="20"/>
          <w:szCs w:val="20"/>
        </w:rPr>
        <w:t>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외국에서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생산되어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가공활동을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원산지가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우리나라인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것처럼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假裝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5.&gt;</w:t>
      </w: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수입수량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제한조치</w:t>
      </w: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수입수량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국내산업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국내산업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심각한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「불공정무역행위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산업피해구제에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무역위원회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구제하기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치유하고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수입수량을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수입수량제한조치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국제통상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수입수량제한조치의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보상수준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국민경제에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수입수량제한조치의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수입수량제한조치를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수입수량제한조치의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수입수량제한조치는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수입수량제한조치의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수입수량제한조치의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적용기간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수입수량제한조치의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</w:t>
      </w:r>
      <w:r>
        <w:rPr>
          <w:rFonts w:ascii="HYSMyeongJo-Medium" w:hAnsi="HYSMyeongJo-Medium" w:cs="HYSMyeongJo-Medium"/>
          <w:sz w:val="20"/>
          <w:szCs w:val="20"/>
        </w:rPr>
        <w:t>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수입수량제한조치의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「관세법」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긴급관세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긴급관세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긴급관세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잠정긴급관세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물품에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수입수량제한조치의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긴급관세의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잠정긴급관세의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</w:t>
      </w:r>
      <w:r>
        <w:rPr>
          <w:rFonts w:ascii="HYSMyeongJo-Medium" w:hAnsi="HYSMyeongJo-Medium" w:cs="HYSMyeongJo-Medium"/>
          <w:sz w:val="20"/>
          <w:szCs w:val="20"/>
        </w:rPr>
        <w:t>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적용기간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부과기간이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수입수량제한조치를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180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수입수량제한조치를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수입수량제한조치가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긴급관세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잠정긴급관세가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수입수량제한조치를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수입수량제한조치의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긴급관세의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수입수량제한조치에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수입수량제한조치의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완화되어야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수입수량제한조치의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수입수량제한조치의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긴급관세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잠정긴급관세의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&lt;2016. 1. 27.&gt;</w:t>
      </w: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유지</w:t>
      </w: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&lt;2008. 12. 19.&gt;</w:t>
      </w: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수출입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물품등의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무역거래자는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외화도피의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조작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造作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무역거래자간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무역분쟁의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신속한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무역거래자는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교역상대국의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무역거래자와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수출ㆍ수입과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지연시켜서는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무역거래자에게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신속하고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仲裁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수입국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선적전검사기관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「세계무역기구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협정」을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지켜야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선적전검사기관은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무역장벽으로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작용하도록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선적전검사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調整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仲裁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무역거래자에게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거래조건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대상지역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調整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체결ㆍ공포된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국제법규에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우리나라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교역상대국의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무역거래자를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무역거래자의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무역거래자와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무역거래자의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수출기반의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무역거래자의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수출ㆍ수입의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4. 22., 2013. 3. 23., 2013. 7. 30., 2022. 11. 15.,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전문무역상사의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상황허가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조정명령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상황허가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환적허가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수출신고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4. 22., 2013. 3. 23., 2013. 7. 30.,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수입국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수입자ㆍ최종사용자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수입자ㆍ최종사용자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납세증명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공표자료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운송수단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經由國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환적국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換積國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전문판정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자가판정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상품안내서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사양서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산업통상자원부</w:t>
      </w:r>
      <w:r>
        <w:rPr>
          <w:rFonts w:ascii="HYSMyeongJo-Medium" w:hAnsi="HYSMyeongJo-Medium" w:cs="HYSMyeongJo-Medium"/>
          <w:sz w:val="20"/>
          <w:szCs w:val="20"/>
        </w:rPr>
        <w:t>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영업소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장부ㆍ서류나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4. 22., 2013. 3. 23.,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내보여야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교육명령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2013. 7. 30., 2020. 3. 18.,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수출허가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>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경유ㆍ환적ㆍ중개한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수출허가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상황허가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이동중지명령을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이동중지조치를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4. 22.]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「독점규제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공정거래에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법률」과의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조정명령의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「독점규제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「국가보안법」과의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수출ㆍ수입행위에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「국가보안법」을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위임ㆍ위탁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세관장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한국은행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>국수출입은행장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외국환은행의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지휘ㆍ감독한다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000000" w:rsidRDefault="00FB207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7. 30.,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30.,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4. 5.&gt;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倂科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7. 30., 2022. 6. 10.,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이동중지명령을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이동중지조치를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6. 10.&gt;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무역거래자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판매업자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</w:t>
      </w:r>
      <w:r>
        <w:rPr>
          <w:rFonts w:ascii="HYSMyeongJo-Medium" w:hAnsi="HYSMyeongJo-Medium" w:cs="HYSMyeongJo-Medium"/>
          <w:sz w:val="20"/>
          <w:szCs w:val="20"/>
        </w:rPr>
        <w:t>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5.]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4. 22., 2013. 7. 30.,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습득한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외화획득을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원료ㆍ기재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원료ㆍ기재로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</w:t>
      </w:r>
      <w:r>
        <w:rPr>
          <w:rFonts w:ascii="HYSMyeongJo-Medium" w:hAnsi="HYSMyeongJo-Medium" w:cs="HYSMyeongJo-Medium"/>
          <w:sz w:val="20"/>
          <w:szCs w:val="20"/>
        </w:rPr>
        <w:t>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원료ㆍ기재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원료ㆍ기재로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4. 5.&gt;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4. 5.&gt;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4. 5.&gt;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12. 19., 2010. 4. 5., 2013. 7. 30., 2022. 6. 10., 2024. 2. 20.&gt;</w:t>
      </w: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12. 19., 2009. 4. 22., 2010. 4. 5., 2013. 7. 30., 2022. 6. 10.&gt;</w:t>
      </w: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양벌규정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5.&gt;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8. 12. 26.]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무역안보관리원의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임직원과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한국은행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한국수출입은행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외국환은행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임직원은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4. 22., 2013. 3. 23., 2024. 2. 20.&gt;</w:t>
      </w: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B207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4. 22., 2010. 4. 5., 2013. 7. 30., 2024. 2. 20.&gt;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수출입관리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&lt;2013. 7. 30.&gt;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>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4. 22., 2013. 3. 23., 2013. 7. 30., 2020. 3. 18., 2024. 2. 20.&gt;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22.&gt;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22.&gt;</w:t>
      </w:r>
    </w:p>
    <w:p w:rsidR="00000000" w:rsidRDefault="00FB207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B207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B207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B2077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20319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2. 20.&gt;</w:t>
      </w:r>
    </w:p>
    <w:p w:rsidR="00000000" w:rsidRDefault="00FB2077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무역안보관리원의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전략물자관리원은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무역안보관리원으로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전략물자관리원의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전략물자관리원에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무역안보관리원의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무역안보관리원에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국가첨단전략산업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경쟁력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특별조치법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개정한다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「대외무역법」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「대외무역법」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유출방지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「대외무역법」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「대외무역법」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화학무기ㆍ생물무기의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특정화학물질ㆍ생물작용제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제조ㆍ수출입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「대외무역법」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「대외무역법」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B207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B2077">
      <w:r>
        <w:separator/>
      </w:r>
    </w:p>
  </w:endnote>
  <w:endnote w:type="continuationSeparator" w:id="0">
    <w:p w:rsidR="00000000" w:rsidRDefault="00FB2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B207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B2077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B2077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B207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B2077">
      <w:r>
        <w:separator/>
      </w:r>
    </w:p>
  </w:footnote>
  <w:footnote w:type="continuationSeparator" w:id="0">
    <w:p w:rsidR="00000000" w:rsidRDefault="00FB2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B2077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대외무역법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77"/>
    <w:rsid w:val="00FB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8BA6FA0-8CA3-486E-BCFC-49A6FDF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5490</Words>
  <Characters>31294</Characters>
  <Application>Microsoft Office Word</Application>
  <DocSecurity>0</DocSecurity>
  <Lines>260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2025-09-01T05:32:00Z</dcterms:created>
  <dcterms:modified xsi:type="dcterms:W3CDTF">2025-09-01T05:32:00Z</dcterms:modified>
</cp:coreProperties>
</file>