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619D7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상법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</w:p>
    <w:p w:rsidR="00000000" w:rsidRDefault="001619D7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31.]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35228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1. 21.,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1619D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상사법무과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02-2110-3635</w:t>
      </w:r>
    </w:p>
    <w:p w:rsidR="00000000" w:rsidRDefault="001619D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1619D7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1619D7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「상법」에서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「상법」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소상인은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상인으로서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전산정보처리조직에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상업장부와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중요서류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장부와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마이크로필름이나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전산정보처리조직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되어있는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8. 31.&gt;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전자화문서로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프로그램의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공정ㆍ타당한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회계관행에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전산정보처리조직에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멸실ㆍ훼손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상행위</w:t>
      </w:r>
    </w:p>
    <w:p w:rsidR="00000000" w:rsidRDefault="001619D7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호천ㆍ항만의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湖川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항만의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「선박안전법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호가목에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平水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구역으로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</w:t>
      </w:r>
    </w:p>
    <w:p w:rsidR="00000000" w:rsidRDefault="001619D7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유한책임회사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자본변동표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이익잉여금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처리계산서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홈페이지에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초기화면에서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쉽게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찾을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일간신문에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공고기간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불특정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되더라도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공고기간의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효력발생일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효력발생일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終價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효력발생일부터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효력발생일의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산술평균하여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효력발생일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종가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담보제공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명의개서대리인의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명의개서대리인의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「자본시장과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금융투자업에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</w:t>
      </w:r>
      <w:r>
        <w:rPr>
          <w:rFonts w:ascii="HYSMyeongJo-Medium" w:eastAsia="HY중고딕" w:hAnsi="HYSMyeongJo-Medium" w:cs="HYSMyeongJo-Medium"/>
          <w:sz w:val="20"/>
          <w:szCs w:val="20"/>
        </w:rPr>
        <w:t>예탁결제원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한국예탁결제원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자기주식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146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공개매수의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취득내역서를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취득내역서를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자기주식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자기주식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금전등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>.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주식양도를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양도신청기간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양도신청기간이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양도신청기간이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자기주식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양도신청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양도신청기간이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주식양도를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양도신청기간이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버린다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전자주주명부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전자주주명부를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명의개서대리인의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전자주주명부의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회사채권자는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주주제안의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주주제안의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소수주주권에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전자투표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「전자서명법」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전자서명을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전자투표를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1. 29., 2020. 12. 8.&gt;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「전자서명법」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전자서명인증사업자가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본인확인기관에서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전자투표를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전날까지로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&lt;2020.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1. 29.&gt;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행사절차의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주주총회에서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1. 29.&gt;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현물출자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결의일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결의일부터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산술평균하여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결의일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종가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담보제공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2018. 10. 30.&gt;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「주식회사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회계처리기준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공기업ㆍ준정부기관의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원칙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금융위원회와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회계기준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재무제표의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「주식회사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외부감사에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외부감사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현금흐름표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註釋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10. 30.&gt;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자본변동표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이익잉여금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처리계산서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「주식회사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10. 30.&gt;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영업보고서의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영업보고서에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영업소ㆍ공장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종업원의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식ㆍ사채의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자금조달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모회사와의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과거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영업성적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변동상황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과제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거래관계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결산기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적립할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자본잉여금을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자본준비금으로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미실현이익의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미실현이익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순자산액으로서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미실현손실과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相計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2. 24.&gt;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미실현이익과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미실현손실을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2. 24., 2023. 12. 19.&gt;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파생결합증권의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미실현이익과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미실현손실이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파생상품의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미실현이익과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미실현손실이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「보험업법」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보험상품의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미실현이익과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미실현손실이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보험계약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금리변동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파생상</w:t>
      </w:r>
      <w:r>
        <w:rPr>
          <w:rFonts w:ascii="HYSMyeongJo-Medium" w:hAnsi="HYSMyeongJo-Medium" w:cs="HYSMyeongJo-Medium"/>
          <w:sz w:val="20"/>
          <w:szCs w:val="20"/>
        </w:rPr>
        <w:t>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보험계약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「보험업법」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변액보험계약에서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「자본시장과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금융투자업에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기초자산의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가격ㆍ이자율ㆍ지표ㆍ단위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이익참가부사채의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사채발행회사의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이익배당에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이익참가부사채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이익배당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價額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이익배당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초일의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발행가액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이익참가의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납입금액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이익배당에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이익배당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변경사항을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21.&gt;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이익참가부사채를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起算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교환사채의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교환사채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교환청구기간이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한국예탁결제원에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「주식ㆍ사채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전자등록기관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한국예탁결제원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6. 25.&gt;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상환사채의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상환사채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한국예탁결제원에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한국예탁결제원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전자등록기관은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6. 25.&gt;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파생결합사채의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지급금액이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파생결합사채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지표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사채청약서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사채청약서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원부에는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이익참가부사채를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교환사채를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상환사채를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파생결합사</w:t>
      </w:r>
      <w:r>
        <w:rPr>
          <w:rFonts w:ascii="HYSMyeongJo-Medium" w:hAnsi="HYSMyeongJo-Medium" w:cs="HYSMyeongJo-Medium"/>
          <w:sz w:val="20"/>
          <w:szCs w:val="20"/>
        </w:rPr>
        <w:t>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사채관리회사의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은행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신탁회사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10. 25.&gt;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「한국산업은행법」에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한국산업은행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「중소기업은행법」에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「농업협동조합법」에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농협은행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「수산업협동조합법」에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수협은행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「자본</w:t>
      </w:r>
      <w:r>
        <w:rPr>
          <w:rFonts w:ascii="HYSMyeongJo-Medium" w:hAnsi="HYSMyeongJo-Medium" w:cs="HYSMyeongJo-Medium"/>
          <w:sz w:val="20"/>
          <w:szCs w:val="20"/>
        </w:rPr>
        <w:t>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일반투자자로부터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투자매매업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일반투자자를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한국예탁결제원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증권금융회사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사채발행회사와의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사채관리회사가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12. 28.&gt;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사채발행회사에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주요주주인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사채발행회사가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「은행법」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대주주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대주주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사채발행회사와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계열회사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계열회사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사채발행회사의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사채발행회사의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사채권자의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휴면회사의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기명날인하여야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아직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「상업등기법」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상장회사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증권시장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「자본시장과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</w:t>
      </w:r>
      <w:r>
        <w:rPr>
          <w:rFonts w:ascii="HYSMyeongJo-Medium" w:eastAsia="HY중고딕" w:hAnsi="HYSMyeongJo-Medium" w:cs="HYSMyeongJo-Medium"/>
          <w:sz w:val="20"/>
          <w:szCs w:val="20"/>
        </w:rPr>
        <w:t>융투자업에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증권시장을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8. 27.&gt;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주식매수선택권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주식매수선택권을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수출실적에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기술혁신을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연구개발활동을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총출자액의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최대출자자로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총출자액의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최대출자자로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총출자액의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최대출자자로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「금융지</w:t>
      </w:r>
      <w:r>
        <w:rPr>
          <w:rFonts w:ascii="HYSMyeongJo-Medium" w:hAnsi="HYSMyeongJo-Medium" w:cs="HYSMyeongJo-Medium"/>
          <w:sz w:val="20"/>
          <w:szCs w:val="20"/>
        </w:rPr>
        <w:t>주회사법」에서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금융지주회사인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손자회사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계열회사의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常務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</w:t>
      </w:r>
      <w:r>
        <w:rPr>
          <w:rFonts w:ascii="HYSMyeongJo-Medium" w:hAnsi="HYSMyeongJo-Medium" w:cs="HYSMyeongJo-Medium"/>
          <w:sz w:val="20"/>
          <w:szCs w:val="20"/>
        </w:rPr>
        <w:t>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부여계약에서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주식매수선택권의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퇴임일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「금융위원회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금융감독원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거래소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전자공시시스템을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27.&gt;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1. 29.&gt;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후보자와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최대주주와의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>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외이사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활동내역과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사업개요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1. 29.&gt;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사외이사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활동내역과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영업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사업개요와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목적사항별로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참고서류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사업보고서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「주식회사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</w:t>
      </w:r>
      <w:r>
        <w:rPr>
          <w:rFonts w:ascii="HYSMyeongJo-Medium" w:hAnsi="HYSMyeongJo-Medium" w:cs="HYSMyeongJo-Medium"/>
          <w:sz w:val="20"/>
          <w:szCs w:val="20"/>
        </w:rPr>
        <w:t>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27.&gt;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명의개서대행회사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금융위원회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거래소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소수주주권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완화대상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집중투표에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자산총액이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조원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상장회사의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사외이사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8. 27., 2024. 7. 2.&gt;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「벤처기업육성에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벤처기업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코스닥시장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24697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>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일부개정령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코스닥시장을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코넥스시장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코넥스시장을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벤처기업인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회생절차가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개시되었거나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유가증권시장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코</w:t>
      </w:r>
      <w:r>
        <w:rPr>
          <w:rFonts w:ascii="HYSMyeongJo-Medium" w:hAnsi="HYSMyeongJo-Medium" w:cs="HYSMyeongJo-Medium"/>
          <w:sz w:val="20"/>
          <w:szCs w:val="20"/>
        </w:rPr>
        <w:t>스닥시장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코넥스시장에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신규상장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전날까지만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유가증권시장에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코스닥시장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코넥스시장에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코스닥시장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코넥스시장에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「부동산투자회사법」에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기업구조조정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부동산투자회사인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2016. 5. 31., 2021. 2. 1.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2022. 8. 23.&gt;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「한국은행법」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「은행법」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「보험업법」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「상호저축은행법」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「금융실명거래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「금융위원회의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「예금자보호법」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「한국자산관리공사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「여신전문금융업법」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「한국산업은행법」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「중소기업은행법」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「한국수출입은행법」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「신용협동조합법」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「신용보증기금법」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「기술보증기금법」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「새마을금고법」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「벤처투자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「신용정보의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「외국환거래법」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21. </w:t>
      </w:r>
      <w:r>
        <w:rPr>
          <w:rFonts w:ascii="HYSMyeongJo-Medium" w:hAnsi="HYSMyeongJo-Medium" w:cs="HYSMyeongJo-Medium"/>
          <w:sz w:val="20"/>
          <w:szCs w:val="20"/>
        </w:rPr>
        <w:t>「외국인투자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22. </w:t>
      </w:r>
      <w:r>
        <w:rPr>
          <w:rFonts w:ascii="HYSMyeongJo-Medium" w:hAnsi="HYSMyeongJo-Medium" w:cs="HYSMyeongJo-Medium"/>
          <w:sz w:val="20"/>
          <w:szCs w:val="20"/>
        </w:rPr>
        <w:t>「자산유동화에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2. 1.&gt;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24. </w:t>
      </w:r>
      <w:r>
        <w:rPr>
          <w:rFonts w:ascii="HYSMyeongJo-Medium" w:hAnsi="HYSMyeongJo-Medium" w:cs="HYSMyeongJo-Medium"/>
          <w:sz w:val="20"/>
          <w:szCs w:val="20"/>
        </w:rPr>
        <w:t>「금융산업의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25. </w:t>
      </w:r>
      <w:r>
        <w:rPr>
          <w:rFonts w:ascii="HYSMyeongJo-Medium" w:hAnsi="HYSMyeongJo-Medium" w:cs="HYSMyeongJo-Medium"/>
          <w:sz w:val="20"/>
          <w:szCs w:val="20"/>
        </w:rPr>
        <w:t>「담보부사채신탁법」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26. </w:t>
      </w:r>
      <w:r>
        <w:rPr>
          <w:rFonts w:ascii="HYSMyeongJo-Medium" w:hAnsi="HYSMyeongJo-Medium" w:cs="HYSMyeongJo-Medium"/>
          <w:sz w:val="20"/>
          <w:szCs w:val="20"/>
        </w:rPr>
        <w:t>「금융지주회사법」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27. </w:t>
      </w:r>
      <w:r>
        <w:rPr>
          <w:rFonts w:ascii="HYSMyeongJo-Medium" w:hAnsi="HYSMyeongJo-Medium" w:cs="HYSMyeongJo-Medium"/>
          <w:sz w:val="20"/>
          <w:szCs w:val="20"/>
        </w:rPr>
        <w:t>「기업구조조정투자회사법」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28. </w:t>
      </w:r>
      <w:r>
        <w:rPr>
          <w:rFonts w:ascii="HYSMyeongJo-Medium" w:hAnsi="HYSMyeongJo-Medium" w:cs="HYSMyeongJo-Medium"/>
          <w:sz w:val="20"/>
          <w:szCs w:val="20"/>
        </w:rPr>
        <w:t>「한국주택금융공사법」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>. 6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혈족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인척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>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라목까지의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계열회사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계열회사는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6. 28., 2020. 1. 29.&gt;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계열회사의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피용자이거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계열회사의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사목에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법무법인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유한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법무조합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수임ㆍ처리나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법률사무소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합작법무법인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외국법자문법률사무소의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외국법자문사를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거래실적의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매출총액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손익계산서상의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대차대조표상의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정기주주총회일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기술제휴계약을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회계법인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법률자문ㆍ경영자문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법무법인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유한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법무조합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수임ㆍ처리나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법률사무소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합작법무법인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외국법자문법률사무소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회계법인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세무법인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이사ㆍ집행임원ㆍ감사로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법률자문ㆍ경영자문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외국법자문사를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「약관의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정형화된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잔액이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상장회사에서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계열회사에서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더하면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사외이사로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기관투자자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외국금융회사는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31.&gt;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「한국산업은행법」에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한국산업은행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「중소기업은행법」에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「한국수출입은행법」에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한국수출입은행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「농업협동조합법」에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농업협동조합중앙회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농협은행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「수산업협동조합법」에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수산업협동조합중앙회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「상호저축은행법」에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상호저축은행중앙회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상호저축은행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「보험업법」에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여신전문금융회사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「신용협동조합법」에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신용협동조합중앙회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「산림조합법」에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산림조합중앙회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「새마을금고법」에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새마을금고중앙회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「한국주택금융공사법」에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한국주택금융공사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투자매매업자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투자중개업자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종합금융회사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집합투자업자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증권금</w:t>
      </w:r>
      <w:r>
        <w:rPr>
          <w:rFonts w:ascii="HYSMyeongJo-Medium" w:hAnsi="HYSMyeongJo-Medium" w:cs="HYSMyeongJo-Medium"/>
          <w:sz w:val="20"/>
          <w:szCs w:val="20"/>
        </w:rPr>
        <w:t>융회사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「공무원연금법」에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공무원연금공단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「사립학교교직원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사립학교교직원연금공단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「국민체육진흥법」에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서울올림픽기념국민체육진흥공단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「신용보증기금법」에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신용보증기금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「기술보증기금법」에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기술보증기금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「무역보험법」에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한국무역보험공사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「중소기업협동조합법」에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중소기업중앙회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「문화예술진흥법」에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</w:t>
      </w:r>
      <w:r>
        <w:rPr>
          <w:rFonts w:ascii="HYSMyeongJo-Medium" w:hAnsi="HYSMyeongJo-Medium" w:cs="HYSMyeongJo-Medium"/>
          <w:sz w:val="20"/>
          <w:szCs w:val="20"/>
        </w:rPr>
        <w:t>문화예술위원회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「한국교직원공제회법」에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한국교직원공제회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「군인공제회법」에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군인공제회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「건설산업기본법」에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건설공제조합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전문건설공제조합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「전기공사공제조합법」에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전기공사공제조합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「정보통신공사업법」에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정보통신공제조합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「대한지방행정공제회법」에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대한지방행정공제회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「과학기술인공제회법」에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과학기술인공제회</w:t>
      </w:r>
    </w:p>
    <w:p w:rsidR="00000000" w:rsidRDefault="001619D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요주주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이해관계자와의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어음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「전자어음의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전자어음을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「어음법」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신용공여의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>ㆍ증권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채무이행의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신용공여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학자금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택자금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복리후생을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억원의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신용공여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신용공여를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주요주주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개인인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「금융위원회의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「금융위원회의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「금융위원회의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「금융위원회의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날짜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거래상대방과의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거래유형별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총거래금액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거래잔액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상근감사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자산총액이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직계존속ㆍ비속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계열회사의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이사ㆍ집행임원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피용자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자산총액이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조원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「부동산투자회사법」에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부동산투자회사인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>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민영화에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회생절차가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유가증권시장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코스닥시장에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신규상장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정기주주총회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전날까지만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유가증권시장에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코스닥시장에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코스닥시장에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감사위원</w:t>
      </w:r>
      <w:r>
        <w:rPr>
          <w:rFonts w:ascii="HYSMyeongJo-Medium" w:hAnsi="HYSMyeongJo-Medium" w:cs="HYSMyeongJo-Medium"/>
          <w:sz w:val="20"/>
          <w:szCs w:val="20"/>
        </w:rPr>
        <w:t>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29., 2020. 4. 14., 2022. 8. 9.&gt;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공인회계사의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</w:t>
      </w:r>
      <w:r>
        <w:rPr>
          <w:rFonts w:ascii="HYSMyeongJo-Medium" w:hAnsi="HYSMyeongJo-Medium" w:cs="HYSMyeongJo-Medium"/>
          <w:sz w:val="20"/>
          <w:szCs w:val="20"/>
        </w:rPr>
        <w:t>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학위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상장회사에서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「금융회사의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지배구조에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한국은행에서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「금융회사의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지배구조에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선임ㆍ해임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의결권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2. 1.&gt;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최대주주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최</w:t>
      </w:r>
      <w:r>
        <w:rPr>
          <w:rFonts w:ascii="HYSMyeongJo-Medium" w:hAnsi="HYSMyeongJo-Medium" w:cs="HYSMyeongJo-Medium"/>
          <w:sz w:val="20"/>
          <w:szCs w:val="20"/>
        </w:rPr>
        <w:t>대주주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위임분만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2. 1.&gt;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준법통제기준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준법지원인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자산총액이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내부통제기준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준법감시인을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준법통제기준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준법통제기준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준법통제기준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준법통제기준의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준법지원인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준법지원인의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임직</w:t>
      </w:r>
      <w:r>
        <w:rPr>
          <w:rFonts w:ascii="HYSMyeongJo-Medium" w:hAnsi="HYSMyeongJo-Medium" w:cs="HYSMyeongJo-Medium"/>
          <w:sz w:val="20"/>
          <w:szCs w:val="20"/>
        </w:rPr>
        <w:t>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업무수행과정에서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임직원에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준법통제기준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임직원의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준법통제기준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준법통제기준을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준법통제에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준법지원인에게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전달될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준법통제기준의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준법통제기준을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준법지원인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8. 9.&gt;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상장회사에서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감사ㆍ감사위원ㆍ준법감시인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합산하여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법률학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상장회사에서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감사ㆍ감사위원ㆍ준법감시인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학위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준법지원인의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준법지원인은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업무수행에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담당해서는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대차대조표에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상당하는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것의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복식부기의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원리에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재무상태를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명확히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자산ㆍ부채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대차대조표에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부과ㆍ징수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조사ㆍ확인한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과태료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이의제기방법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이의제기기간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구체적으로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밝혀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위반기간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납입고지서에는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이의제기방법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이의제기기간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line="400" w:lineRule="atLeast"/>
        <w:ind w:left="6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10. 30.&gt;</w:t>
      </w:r>
    </w:p>
    <w:p w:rsidR="00000000" w:rsidRDefault="001619D7">
      <w:pPr>
        <w:spacing w:line="400" w:lineRule="atLeast"/>
        <w:ind w:left="6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생명보험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위조ㆍ변조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신뢰성을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지급사유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보험금액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보험계약자와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보험수익자의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보험기간이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전자서명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전자문</w:t>
      </w:r>
      <w:r>
        <w:rPr>
          <w:rFonts w:ascii="HYSMyeongJo-Medium" w:hAnsi="HYSMyeongJo-Medium" w:cs="HYSMyeongJo-Medium"/>
          <w:sz w:val="20"/>
          <w:szCs w:val="20"/>
        </w:rPr>
        <w:t>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10. 30.]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619D7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</w:t>
      </w:r>
    </w:p>
    <w:p w:rsidR="00000000" w:rsidRDefault="001619D7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군함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어업지도선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밀수감시선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비상용ㆍ인명구조용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연안항행구역의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공동해손의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연안항행구역의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전라남도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영광군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불갑천구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북안에서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신안군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재원도ㆍ비금도ㆍ신도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진도군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가사도ㆍ진도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완도군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보길도ㆍ자지도ㆍ청산도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여수시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</w:t>
      </w:r>
      <w:r>
        <w:rPr>
          <w:rFonts w:ascii="HYSMyeongJo-Medium" w:eastAsia="HY중고딕" w:hAnsi="HYSMyeongJo-Medium" w:cs="HYSMyeongJo-Medium"/>
          <w:sz w:val="20"/>
          <w:szCs w:val="20"/>
        </w:rPr>
        <w:t>도ㆍ소리도와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경상남도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부산광역시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광역시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승두말에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619D7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항공운송</w:t>
      </w:r>
    </w:p>
    <w:p w:rsidR="00000000" w:rsidRDefault="001619D7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초경량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비행장치의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896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초경량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비행장치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「항공안전법」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초경량비행장치를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3. 29.&gt;</w:t>
      </w: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항공운송편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3. 29.&gt;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군용ㆍ경찰용ㆍ세관용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「항공안전법」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비상용ㆍ인명구조용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619D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항공기사고로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선급금의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운송인이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선급금은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여객이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인당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천계산단위의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여객이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인당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천계산단위의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진찰ㆍ검사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약제ㆍ치료재료의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처치ㆍ수술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예방ㆍ재활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상관없이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손해배상청구권자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1619D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선급금을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선급금을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가족관계등록부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청구권자임을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1619D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여객이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1619D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619D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619D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619D7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35228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1. 21.&gt;(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법인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등기규정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정비를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위한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78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법령의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일부개정에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관한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대통령령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)</w:t>
      </w:r>
    </w:p>
    <w:p w:rsidR="00000000" w:rsidRDefault="001619D7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영은</w:t>
      </w:r>
      <w:r>
        <w:rPr>
          <w:rFonts w:ascii="HYSMyeongJo-Medium" w:hAnsi="HYSMyeongJo-Medium" w:cs="HYSMyeongJo-Medium"/>
          <w:sz w:val="20"/>
          <w:szCs w:val="20"/>
        </w:rPr>
        <w:t xml:space="preserve"> 2025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619D7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619D7">
      <w:r>
        <w:separator/>
      </w:r>
    </w:p>
  </w:endnote>
  <w:endnote w:type="continuationSeparator" w:id="0">
    <w:p w:rsidR="00000000" w:rsidRDefault="0016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619D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619D7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619D7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619D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619D7">
      <w:r>
        <w:separator/>
      </w:r>
    </w:p>
  </w:footnote>
  <w:footnote w:type="continuationSeparator" w:id="0">
    <w:p w:rsidR="00000000" w:rsidRDefault="00161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619D7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상법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D7"/>
    <w:rsid w:val="0016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BD3CD25-97C9-495D-AC57-9170A5A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4159</Words>
  <Characters>23710</Characters>
  <Application>Microsoft Office Word</Application>
  <DocSecurity>0</DocSecurity>
  <Lines>197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2025-09-01T05:37:00Z</dcterms:created>
  <dcterms:modified xsi:type="dcterms:W3CDTF">2025-09-01T05:37:00Z</dcterms:modified>
</cp:coreProperties>
</file>