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C0C9A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진흥법</w:t>
      </w:r>
    </w:p>
    <w:p w:rsidR="00000000" w:rsidRDefault="00BC0C9A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23.]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20476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10. 22.,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BC0C9A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044-202-6324</w:t>
      </w:r>
    </w:p>
    <w:p w:rsidR="00000000" w:rsidRDefault="00BC0C9A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044-202-6334</w:t>
      </w:r>
    </w:p>
    <w:p w:rsidR="00000000" w:rsidRDefault="00BC0C9A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국가경쟁력의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국민생활의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명령ㆍ제어ㆍ입력ㆍ처리ㆍ저장ㆍ출력ㆍ상호작용이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지시ㆍ명령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음성이나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記述書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사회적ㆍ시장적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창의적이고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최소화하기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외부로부터의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오작동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안전기능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미비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문제해결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키우고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올바른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「국가기술자격법」에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BC0C9A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商用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상업적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판매ㆍ제공되는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도급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원도급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진흥시키고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진흥시책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</w:t>
      </w:r>
      <w:r>
        <w:rPr>
          <w:rFonts w:ascii="HYSMyeongJo-Medium" w:hAnsi="HYSMyeongJo-Medium" w:cs="HYSMyeongJo-Medium"/>
          <w:sz w:val="20"/>
          <w:szCs w:val="20"/>
        </w:rPr>
        <w:t>방향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육성시책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소프트웨어창업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소프트웨어산업의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소프트웨어융합의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산업과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수립ㆍ추진을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소프트웨어산업정보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국가안보에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영업비밀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「부정경쟁방지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영업비밀보호에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전담기관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진흥ㆍ발전을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정보통신산업진흥원을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소프트웨어정책연구소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연구소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정책연구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분석ㆍ제공ㆍ공유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융합을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지역산업진흥기관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한국소프트웨어산업협회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도모하기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한국소프트웨어산업협회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</w:t>
      </w:r>
      <w:r>
        <w:rPr>
          <w:rFonts w:ascii="HYSMyeongJo-Medium" w:hAnsi="HYSMyeongJo-Medium" w:cs="HYSMyeongJo-Medium"/>
          <w:sz w:val="20"/>
          <w:szCs w:val="20"/>
        </w:rPr>
        <w:t>시장정보의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</w:t>
      </w:r>
      <w:r>
        <w:rPr>
          <w:rFonts w:ascii="HYSMyeongJo-Medium" w:eastAsia="HY중고딕" w:hAnsi="HYSMyeongJo-Medium" w:cs="HYSMyeongJo-Medium"/>
          <w:sz w:val="20"/>
          <w:szCs w:val="20"/>
        </w:rPr>
        <w:t>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소프트웨어진흥시설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벤처기업집적시설로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소프트웨어진흥단지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지정ㆍ조성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진흥단지가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소프트웨어창업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활성화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소프트웨어창업의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성장ㆍ발전을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인수ㆍ합병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소프트웨어창업의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소프트웨어창업을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국유재산의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소프트웨어창업을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「국유재산법」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빌려주어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국제협력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해외진출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해외시장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국제전시회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국제표준화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국제공동연구개발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현지화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지식재산권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지식재산권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세제지원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취득세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호환성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「중소기업제품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우선구매조치를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개발ㆍ유지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신뢰성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</w:t>
      </w:r>
      <w:r>
        <w:rPr>
          <w:rFonts w:ascii="HYSMyeongJo-Medium" w:hAnsi="HYSMyeongJo-Medium" w:cs="HYSMyeongJo-Medium"/>
          <w:sz w:val="20"/>
          <w:szCs w:val="20"/>
        </w:rPr>
        <w:t>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국가기관등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인력양성과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기술진흥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소프트웨어인력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훈련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전문교육기관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전문교육기관을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경력관리를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근무처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학력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경력등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유지ㆍ관리할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</w:t>
      </w:r>
      <w:r>
        <w:rPr>
          <w:rFonts w:ascii="HYSMyeongJo-Medium" w:hAnsi="HYSMyeongJo-Medium" w:cs="HYSMyeongJo-Medium"/>
          <w:sz w:val="20"/>
          <w:szCs w:val="20"/>
        </w:rPr>
        <w:t>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진실성과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업체ㆍ기관의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업체ㆍ기관의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기술개발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국가연구개발사업을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원시코드</w:t>
      </w:r>
      <w:r>
        <w:rPr>
          <w:rFonts w:ascii="HYSMyeongJo-Medium" w:hAnsi="HYSMyeongJo-Medium" w:cs="HYSMyeongJo-Medium"/>
          <w:sz w:val="20"/>
          <w:szCs w:val="20"/>
        </w:rPr>
        <w:t>(source code)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</w:t>
      </w:r>
      <w:r>
        <w:rPr>
          <w:rFonts w:ascii="HYSMyeongJo-Medium" w:hAnsi="HYSMyeongJo-Medium" w:cs="HYSMyeongJo-Medium"/>
          <w:sz w:val="20"/>
          <w:szCs w:val="20"/>
        </w:rPr>
        <w:t>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국가연구개발사업의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공개소프트웨어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저작권자가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원시코드를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활용ㆍ복제ㆍ수정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재배포가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배포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연구활동의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연구활동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연구역량을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</w:t>
      </w:r>
      <w:r>
        <w:rPr>
          <w:rFonts w:ascii="HYSMyeongJo-Medium" w:hAnsi="HYSMyeongJo-Medium" w:cs="HYSMyeongJo-Medium"/>
          <w:sz w:val="20"/>
          <w:szCs w:val="20"/>
        </w:rPr>
        <w:t>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결과보고ㆍ평가의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소프트웨어공학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연구개발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소프트웨어공학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발전ㆍ확산시키려는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소프트웨어공학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이용ㆍ보급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프트웨어융합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소프트웨어교육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소프트웨어안전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혁신을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소프트웨어융합을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소프트웨어개발보안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소프트웨어개발보안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소프트웨어개발보안을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소프트웨어안전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소프트웨어안전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</w:t>
      </w:r>
      <w:r>
        <w:rPr>
          <w:rFonts w:ascii="HYSMyeongJo-Medium" w:eastAsia="HY중고딕" w:hAnsi="HYSMyeongJo-Medium" w:cs="HYSMyeongJo-Medium"/>
          <w:sz w:val="20"/>
          <w:szCs w:val="20"/>
        </w:rPr>
        <w:t>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활성화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소프트웨어교육과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콘텐츠의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올바른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초ㆍ중등학교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웨어교육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「초ㆍ중등교육법」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초ㆍ중등학교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초ㆍ중등학교의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육성방안을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세우고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역량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확산시키고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문제해결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방법ㆍ절차ㆍ내용ㆍ대상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</w:t>
      </w:r>
      <w:r>
        <w:rPr>
          <w:rFonts w:ascii="HYSMyeongJo-Medium" w:eastAsia="HY중고딕" w:hAnsi="HYSMyeongJo-Medium" w:cs="HYSMyeongJo-Medium"/>
          <w:sz w:val="20"/>
          <w:szCs w:val="20"/>
        </w:rPr>
        <w:t>웨어에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지식수준을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국민생활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널리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존중ㆍ우대받는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분위기를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선진화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하도급계약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재하도급계약을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</w:t>
      </w:r>
      <w:r>
        <w:rPr>
          <w:rFonts w:ascii="HYSMyeongJo-Medium" w:hAnsi="HYSMyeongJo-Medium" w:cs="HYSMyeongJo-Medium"/>
          <w:sz w:val="20"/>
          <w:szCs w:val="20"/>
        </w:rPr>
        <w:t>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문화체육관광부장관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공정거래위원회위원장과의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표준약관을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불이익행위등의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受注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불이익행위등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「하도급거래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민간투자형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공공부문과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민간부문이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24. 1. 23.&gt;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민간투자형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총한도액등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총한도액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대상사업별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사업추진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예비한도액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총한도액등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예비한도액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총한도액등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「사회기반시설에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23.]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정부지급금추계서의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정부지급금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주무부처별ㆍ대상사업별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정부지급금추계서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정부지급금추계서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정부지급금추계서를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정부지급금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추계서에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부지급금추계서의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23.]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구매수요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횟수ㆍ시기ㆍ방법ㆍ절차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발주기술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지원방안을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발주기술교육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영향평가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국가안보와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</w:t>
      </w:r>
      <w:r>
        <w:rPr>
          <w:rFonts w:ascii="HYSMyeongJo-Medium" w:hAnsi="HYSMyeongJo-Medium" w:cs="HYSMyeongJo-Medium"/>
          <w:sz w:val="20"/>
          <w:szCs w:val="20"/>
        </w:rPr>
        <w:t>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행정안전부장관과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</w:t>
      </w:r>
      <w:r>
        <w:rPr>
          <w:rFonts w:ascii="HYSMyeongJo-Medium" w:eastAsia="HY중고딕" w:hAnsi="HYSMyeongJo-Medium" w:cs="HYSMyeongJo-Medium"/>
          <w:sz w:val="20"/>
          <w:szCs w:val="20"/>
        </w:rPr>
        <w:t>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행정안전부장관과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장기계속계약을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「국가재정법」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비용ㆍ일정ㆍ규모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인건비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중앙사무관장기관의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</w:t>
      </w:r>
      <w:r>
        <w:rPr>
          <w:rFonts w:ascii="HYSMyeongJo-Medium" w:eastAsia="HY중고딕" w:hAnsi="HYSMyeongJo-Medium" w:cs="HYSMyeongJo-Medium"/>
          <w:sz w:val="20"/>
          <w:szCs w:val="20"/>
        </w:rPr>
        <w:t>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특별시장ㆍ광역시장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도지사와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중앙사무관장기관의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작성수준이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산</w:t>
      </w:r>
      <w:r>
        <w:rPr>
          <w:rFonts w:ascii="HYSMyeongJo-Medium" w:hAnsi="HYSMyeongJo-Medium" w:cs="HYSMyeongJo-Medium"/>
          <w:sz w:val="20"/>
          <w:szCs w:val="20"/>
        </w:rPr>
        <w:t>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참여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참여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재하수급인으로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「조달사업에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국방ㆍ외교ㆍ치안ㆍ전력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電力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「사회기반시설에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민간투자대상사업으로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상호출자제한기업집단에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입찰참여를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「지방자치단체를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낙찰자로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특성상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</w:t>
      </w:r>
      <w:r>
        <w:rPr>
          <w:rFonts w:ascii="HYSMyeongJo-Medium" w:hAnsi="HYSMyeongJo-Medium" w:cs="HYSMyeongJo-Medium"/>
          <w:sz w:val="20"/>
          <w:szCs w:val="20"/>
        </w:rPr>
        <w:t>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과업심의위원회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과업내용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계약금액ㆍ계약기간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구매금액을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물품의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공동수급체로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관리ㆍ감독하여야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낙찰자로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활성화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비교평가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편성하도록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구매하려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제품구매에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</w:p>
    <w:p w:rsidR="00000000" w:rsidRDefault="00BC0C9A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수행되는지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관리ㆍ감독하여야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관리ㆍ감독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개선권고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준수하였는지를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</w:t>
      </w:r>
      <w:r>
        <w:rPr>
          <w:rFonts w:ascii="HYSMyeongJo-Medium" w:hAnsi="HYSMyeongJo-Medium" w:cs="HYSMyeongJo-Medium"/>
          <w:sz w:val="20"/>
          <w:szCs w:val="20"/>
        </w:rPr>
        <w:t>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사업수행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진실성과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산출물의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계약상대자가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계약상대자와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분리발주한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하자담보책임을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발주자가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소프트웨어공제조합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상호협동과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도모하고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자금대여와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이행보증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「중소기업제품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성능보험사업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財源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출자금ㆍ공제부금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共濟賦金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ㆍ예탁금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공제부금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종류ㆍ대상과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손실보전준비금의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補塡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공제이용자로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손실보전준비금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준비금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준비금계정으로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적립ㆍ운용에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指示債權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</w:t>
      </w:r>
      <w:r>
        <w:rPr>
          <w:rFonts w:ascii="HYSMyeongJo-Medium" w:hAnsi="HYSMyeongJo-Medium" w:cs="HYSMyeongJo-Medium"/>
          <w:sz w:val="20"/>
          <w:szCs w:val="20"/>
        </w:rPr>
        <w:t>득가액은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이월손실금의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손실보전준비금의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이익준비금의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이익금의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업무처리와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소프트웨어창업을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BC0C9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기관ㆍ법인ㆍ단체의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BC0C9A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C0C9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BC0C9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C0C9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C0C9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C0C9A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20476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10. 22.&gt;</w:t>
      </w:r>
    </w:p>
    <w:p w:rsidR="00000000" w:rsidRDefault="00BC0C9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벌칙에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C0C9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C0C9A">
      <w:r>
        <w:separator/>
      </w:r>
    </w:p>
  </w:endnote>
  <w:endnote w:type="continuationSeparator" w:id="0">
    <w:p w:rsidR="00000000" w:rsidRDefault="00BC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C0C9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C0C9A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C0C9A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C0C9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C0C9A">
      <w:r>
        <w:separator/>
      </w:r>
    </w:p>
  </w:footnote>
  <w:footnote w:type="continuationSeparator" w:id="0">
    <w:p w:rsidR="00000000" w:rsidRDefault="00BC0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C0C9A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소프트웨어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진흥법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9A"/>
    <w:rsid w:val="00B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A368F4A-707C-4C86-AE10-A3EE182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4734</Words>
  <Characters>26988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2025-09-01T05:39:00Z</dcterms:created>
  <dcterms:modified xsi:type="dcterms:W3CDTF">2025-09-01T05:39:00Z</dcterms:modified>
</cp:coreProperties>
</file>